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5604</w:t>
        <w:t xml:space="preserve">.  </w:t>
      </w:r>
      <w:r>
        <w:rPr>
          <w:b/>
        </w:rPr>
        <w:t xml:space="preserve">Monetary sanctions</w:t>
      </w:r>
    </w:p>
    <w:p>
      <w:pPr>
        <w:jc w:val="both"/>
        <w:spacing w:before="100" w:after="0"/>
        <w:ind w:start="360"/>
        <w:ind w:firstLine="360"/>
      </w:pPr>
      <w:r>
        <w:rPr>
          <w:b/>
        </w:rPr>
        <w:t>1</w:t>
        <w:t xml:space="preserve">.  </w:t>
      </w:r>
      <w:r>
        <w:rPr>
          <w:b/>
        </w:rPr>
        <w:t xml:space="preserve">Designation.</w:t>
        <w:t xml:space="preserve"> </w:t>
      </w:r>
      <w:r>
        <w:t xml:space="preserve"> </w:t>
      </w:r>
      <w:r>
        <w:t xml:space="preserve">A monetary sanction authorized by law and imposed by the court for a civil violation may be designated a "fine," "penalty," "forfeiture," "surcharge" or "assessment" or may be designated by another similar term.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X, §1 (NEW); PL 2003, c. 452, Pt. X, §2 (AFF).]</w:t>
      </w:r>
    </w:p>
    <w:p>
      <w:pPr>
        <w:jc w:val="both"/>
        <w:spacing w:before="100" w:after="0"/>
        <w:ind w:start="360"/>
        <w:ind w:firstLine="360"/>
      </w:pPr>
      <w:r>
        <w:rPr>
          <w:b/>
        </w:rPr>
        <w:t>2</w:t>
        <w:t xml:space="preserve">.  </w:t>
      </w:r>
      <w:r>
        <w:rPr>
          <w:b/>
        </w:rPr>
        <w:t xml:space="preserve">Civil violation.</w:t>
        <w:t xml:space="preserve"> </w:t>
      </w:r>
      <w:r>
        <w:t xml:space="preserve"> </w:t>
      </w:r>
      <w:r>
        <w:t xml:space="preserve">Use of the terminology under </w:t>
      </w:r>
      <w:r>
        <w:t>subsection 1</w:t>
      </w:r>
      <w:r>
        <w:t xml:space="preserve"> in describing a monetary sanction for a civil violation does not limit or prohibit the application of </w:t>
      </w:r>
      <w:r>
        <w:t>Title 17‑A, section 4‑B,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X, §1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§X1 (NEW). PL 2003, c. 452, §X2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§5604. Monetary sanctions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§5604. Monetary sanctions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§5604. MONETARY SANCTIONS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