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6153</w:t>
        <w:t xml:space="preserve">.  </w:t>
      </w:r>
      <w:r>
        <w:rPr>
          <w:b/>
        </w:rPr>
        <w:t xml:space="preserve">Notice and proceedings</w:t>
      </w:r>
    </w:p>
    <w:p>
      <w:pPr>
        <w:jc w:val="both"/>
        <w:spacing w:before="100" w:after="100"/>
        <w:ind w:start="360"/>
        <w:ind w:firstLine="360"/>
      </w:pPr>
      <w:r>
        <w:rPr/>
      </w:r>
      <w:r>
        <w:rPr/>
      </w:r>
      <w:r>
        <w:t xml:space="preserve">The court shall order notice to be served on the Treasurer of State in the usual form, and shall hear the cause and decide what sum is due to the State on said mortgage, and award costs as it deems equitable. The treasurer shall accept the sum adjudged by the court to be due and discharge the mortgage.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§6153. Notice and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§6153. Notice and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§6153. NOTICE AND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