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6309</w:t>
        <w:t xml:space="preserve">.  </w:t>
      </w:r>
      <w:r>
        <w:rPr>
          <w:b/>
        </w:rPr>
        <w:t xml:space="preserve">Limitation of civil action</w:t>
      </w:r>
    </w:p>
    <w:p>
      <w:pPr>
        <w:jc w:val="both"/>
        <w:spacing w:before="100" w:after="100"/>
        <w:ind w:start="360"/>
        <w:ind w:firstLine="360"/>
      </w:pPr>
      <w:r>
        <w:rPr/>
      </w:r>
      <w:r>
        <w:rPr/>
      </w:r>
      <w:r>
        <w:t xml:space="preserve">No civil action shall be brought for redemption of mortgaged premises, founded on a tender of payment or performance of the condition made before commencement of the action, unless within one year after such tender.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§6309. Limitation of civil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§6309. Limitation of civil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§6309. LIMITATION OF CIVIL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