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Ratification</w:t>
      </w:r>
    </w:p>
    <w:p>
      <w:pPr>
        <w:jc w:val="both"/>
        <w:spacing w:before="100" w:after="100"/>
        <w:ind w:start="360"/>
        <w:ind w:firstLine="360"/>
      </w:pPr>
      <w:r>
        <w:rPr/>
      </w:r>
      <w:r>
        <w:rPr/>
      </w:r>
      <w:r>
        <w:t xml:space="preserve">The Interpleader Compact is approved, ratified, adopted and entered into by this State as a party state to take effect between this State and any other state or states as defined in said compact when entered into in accordance with the terms of said compact by said other state or states and not disapproved by the Governor of this State under </w:t>
      </w:r>
      <w:r>
        <w:t>Article VII, subsection 3</w:t>
      </w:r>
      <w:r>
        <w:t xml:space="preserve">, of such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§6401.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