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6513</w:t>
        <w:t xml:space="preserve">.  </w:t>
      </w:r>
      <w:r>
        <w:rPr>
          <w:b/>
        </w:rPr>
        <w:t xml:space="preserve">Notice; majority report</w:t>
      </w:r>
    </w:p>
    <w:p>
      <w:pPr>
        <w:jc w:val="both"/>
        <w:spacing w:before="100" w:after="100"/>
        <w:ind w:start="360"/>
        <w:ind w:firstLine="360"/>
      </w:pPr>
      <w:r>
        <w:rPr/>
      </w:r>
      <w:r>
        <w:rPr/>
      </w:r>
      <w:r>
        <w:t xml:space="preserve">The commissioners shall give reasonable notice of the time and place for making partition to all concerned who are known and within the State. They must all be present at the performance of their duties but the report of a majority is valid.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§6513. Notice; majority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§6513. NOTICE; MAJORITY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