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Special motion for expedited relief</w:t>
      </w:r>
    </w:p>
    <w:p>
      <w:pPr>
        <w:jc w:val="both"/>
        <w:spacing w:before="100" w:after="100"/>
        <w:ind w:start="360"/>
        <w:ind w:firstLine="360"/>
      </w:pPr>
      <w:r>
        <w:rPr/>
      </w:r>
      <w:r>
        <w:rPr/>
      </w:r>
      <w:r>
        <w:t xml:space="preserve">Not later than 60 days after a party is served with a complaint, petition, cross-claim, counterclaim, 3rd-party claim or other pleading that asserts a cause of action to which this subchapter applies, or at a later time on a showing of good cause, the party may file a special motion for expedited relief to dismiss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Special motion for expedited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Special motion for expedited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§734. SPECIAL MOTION FOR EXPEDITED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