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Proof</w:t>
      </w:r>
    </w:p>
    <w:p>
      <w:pPr>
        <w:jc w:val="both"/>
        <w:spacing w:before="100" w:after="100"/>
        <w:ind w:start="360"/>
        <w:ind w:firstLine="360"/>
      </w:pPr>
      <w:r>
        <w:rPr/>
      </w:r>
      <w:r>
        <w:rPr/>
      </w:r>
      <w:r>
        <w:t xml:space="preserve">In ruling on a motion under </w:t>
      </w:r>
      <w:r>
        <w:t>section 734</w:t>
      </w:r>
      <w:r>
        <w:t xml:space="preserve">, the court shall consider the pleadings, the motion, any reply or response to the motion and any evidence that could be considered in ruling on a motion for summary judgment under Rule 56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§737.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