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752-F</w:t>
        <w:t xml:space="preserve">.  </w:t>
      </w:r>
      <w:r>
        <w:rPr>
          <w:b/>
        </w:rPr>
        <w:t xml:space="preserve">Perfluoroalkyl and polyfluoroalkyl substances</w:t>
      </w:r>
    </w:p>
    <w:p>
      <w:pPr>
        <w:jc w:val="both"/>
        <w:spacing w:before="100" w:after="100"/>
        <w:ind w:start="360"/>
        <w:ind w:firstLine="360"/>
      </w:pPr>
      <w:r>
        <w:rPr/>
      </w:r>
      <w:r>
        <w:rPr/>
      </w:r>
      <w:r>
        <w:t xml:space="preserve">A cause of action arising out of any harm or injury caused by a perfluoroalkyl or polyfluoroalkyl substance accrues on the date the plaintiff discovers or reasonably should have discovered such harm or injury. For the purposes of this section, "perfluoroalkyl or polyfluoroalkyl substance" means any member of the class of fluorinated organic chemicals containing at least one fully fluorinated carbon atom.  This section does not affect application of notice requirements for filing under </w:t>
      </w:r>
      <w:r>
        <w:t>section 8107</w:t>
      </w:r>
      <w:r>
        <w:t xml:space="preserve"> or the limitation on actions against a government entity under </w:t>
      </w:r>
      <w:r>
        <w:t>section 8110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§752-F. Perfluoroalkyl and polyfluoroalkyl substances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§752-F. Perfluoroalkyl and polyfluoroalkyl substances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§752-F. PERFLUOROALKYL AND POLYFLUOROALKYL SUBSTANCES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