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w:t>
        <w:t xml:space="preserve">.  </w:t>
      </w:r>
      <w:r>
        <w:rPr>
          <w:b/>
        </w:rPr>
        <w:t xml:space="preserve">Type of possession; need for enclosure</w:t>
      </w:r>
    </w:p>
    <w:p>
      <w:pPr>
        <w:jc w:val="both"/>
        <w:spacing w:before="100" w:after="100"/>
        <w:ind w:start="360"/>
        <w:ind w:firstLine="360"/>
      </w:pPr>
      <w:r>
        <w:rPr/>
      </w:r>
      <w:r>
        <w:rPr/>
      </w:r>
      <w:r>
        <w:t xml:space="preserve">To constitute a disseizin, or such exclusive and adverse possession of lands as to bar or limit the right of the true owner thereof to recover them, such lands need not be surrounded with fences or rendered inaccessible by water; but it is sufficient, if the possession, occupation and improvement are open, notorious and comporting with the ordinary management of a farm; although that part of the same, which composes the woodland belonging to such farm and used therewith as a woodlot, is not so enclosed.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 Type of possession; need for enclosure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 Type of possession; need for enclosure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§810. TYPE OF POSSESSION; NEED FOR ENCLOSURE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