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§8106. Jurisdiction of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Jurisdiction of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§8106. JURISDICTION OF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