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Forty years' possession bars action for recovery of land</w:t>
      </w:r>
    </w:p>
    <w:p>
      <w:pPr>
        <w:jc w:val="both"/>
        <w:spacing w:before="100" w:after="100"/>
        <w:ind w:start="360"/>
        <w:ind w:firstLine="360"/>
      </w:pPr>
      <w:r>
        <w:rPr/>
      </w:r>
      <w:r>
        <w:rPr/>
      </w:r>
      <w:r>
        <w:t xml:space="preserve">No real or mixed action for the recovery of lands shall be commenced or maintained against any person in possession thereof, when such person or those under whom he claims have been in actual possession for more than 40 years, claiming to hold them by adverse, open, peaceable, notorious and exclusive possession, in their own right.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§815. Forty years' possession bars action for recovery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Forty years' possession bars action for recovery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§815. FORTY YEARS' POSSESSION BARS ACTION FOR RECOVERY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