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Property of defendant and 3rd parties as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Property of defendant and 3rd parties as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§1074. PROPERTY OF DEFENDANT AND 3RD PARTIES AS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