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Attorney General to investigate at demand of Governor</w:t>
      </w:r>
    </w:p>
    <w:p>
      <w:pPr>
        <w:jc w:val="both"/>
        <w:spacing w:before="100" w:after="100"/>
        <w:ind w:start="360"/>
        <w:ind w:firstLine="360"/>
      </w:pPr>
      <w:r>
        <w:rPr/>
      </w:r>
      <w:r>
        <w:rPr/>
      </w:r>
      <w:r>
        <w:t xml:space="preserve">When a demand is made upon the Governor of this State by the executive authority of another state for the surrender of a person so charged with crime, the Governor may call upon the Attorney General or any prosecuting officer in this State to investigate or assist in investigating the demand and to report to the Governor the situation and circumstances of the person so demanded and whether the person ought to be surrendered.</w:t>
      </w:r>
      <w:r>
        <w:t xml:space="preserve">  </w:t>
      </w:r>
      <w:r xmlns:wp="http://schemas.openxmlformats.org/drawingml/2010/wordprocessingDrawing" xmlns:w15="http://schemas.microsoft.com/office/word/2012/wordml">
        <w:rPr>
          <w:rFonts w:ascii="Arial" w:hAnsi="Arial" w:cs="Arial"/>
          <w:sz w:val="22"/>
          <w:szCs w:val="22"/>
        </w:rPr>
        <w:t xml:space="preserve">[RR 2023, c. 2, Pt. D,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 Attorney General to investigate at demand of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Attorney General to investigate at demand of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§204. ATTORNEY GENERAL TO INVESTIGATE AT DEMAND OF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