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§2123. Jurisdiction and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§2123. JURISDICTION AND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