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Post-judgment motion for determination of factual innocence and correction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Post-judgment motion for determination of factual innocence and correction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§2182. POST-JUDGMENT MOTION FOR DETERMINATION OF FACTUAL INNOCENCE AND CORRECTION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