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Acquittal in part; conviction in part</w:t>
      </w:r>
    </w:p>
    <w:p>
      <w:pPr>
        <w:jc w:val="both"/>
        <w:spacing w:before="100" w:after="100"/>
        <w:ind w:start="360"/>
        <w:ind w:firstLine="360"/>
      </w:pPr>
      <w:r>
        <w:rPr/>
      </w:r>
      <w:r>
        <w:rPr/>
      </w:r>
      <w:r>
        <w:t xml:space="preserve">When a person indicted for an offense is acquitted of a part by verdict of the jury and found guilty of the residue thereof, the verdict may be received and recorded by the court. The person may be considered as convicted of the offense, if any, that is substantially charged by the residue and be punished accordingly, although the offense would not otherwise be within the jurisdiction of the court.</w:t>
      </w:r>
      <w:r>
        <w:t xml:space="preserve">  </w:t>
      </w:r>
      <w:r xmlns:wp="http://schemas.openxmlformats.org/drawingml/2010/wordprocessingDrawing" xmlns:w15="http://schemas.microsoft.com/office/word/2012/wordml">
        <w:rPr>
          <w:rFonts w:ascii="Arial" w:hAnsi="Arial" w:cs="Arial"/>
          <w:sz w:val="22"/>
          <w:szCs w:val="22"/>
        </w:rPr>
        <w:t xml:space="preserve">[RR 2023, c. 2, Pt. D,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 Acquittal in part; conviction in part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Acquittal in part; conviction in part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§6. ACQUITTAL IN PART; CONVICTION IN PART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