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17-A</w:t>
      </w:r>
    </w:p>
    <w:p>
      <w:pPr>
        <w:jc w:val="center"/>
        <w:ind w:start="360"/>
        <w:spacing w:before="300" w:after="300"/>
      </w:pPr>
      <w:r>
        <w:rPr>
          <w:b/>
        </w:rPr>
        <w:t xml:space="preserve">MAINE CRIMINAL CODE</w:t>
      </w:r>
    </w:p>
    <w:p>
      <w:pPr>
        <w:jc w:val="center"/>
        <w:ind w:start="360"/>
        <w:spacing w:before="300" w:after="300"/>
      </w:pPr>
      <w:r>
        <w:rPr>
          <w:b/>
        </w:rPr>
        <w:t>PART</w:t>
        <w:t xml:space="preserve"> </w:t>
        <w:t>1</w:t>
      </w:r>
    </w:p>
    <w:p>
      <w:pPr>
        <w:jc w:val="center"/>
        <w:ind w:start="360"/>
        <w:spacing w:before="300" w:after="300"/>
      </w:pPr>
      <w:r>
        <w:rPr>
          <w:b/>
        </w:rPr>
        <w:t xml:space="preserve">GENERAL PRINCIPLES</w:t>
      </w:r>
    </w:p>
    <w:p>
      <w:pPr>
        <w:jc w:val="center"/>
        <w:ind w:start="360"/>
        <w:spacing w:before="300" w:after="300"/>
      </w:pPr>
      <w:r>
        <w:rPr>
          <w:b/>
        </w:rPr>
        <w:t>CHAPTER</w:t>
        <w:t xml:space="preserve"> </w:t>
        <w:t>1</w:t>
      </w:r>
    </w:p>
    <w:p>
      <w:pPr>
        <w:jc w:val="center"/>
        <w:ind w:start="360"/>
        <w:spacing w:before="300" w:after="300"/>
      </w:pPr>
      <w:r>
        <w:rPr>
          <w:b/>
        </w:rPr>
        <w:t xml:space="preserve">PRELIMINARY</w:t>
      </w:r>
    </w:p>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w:pPr>
        <w:jc w:val="both"/>
        <w:spacing w:before="100" w:after="0"/>
        <w:ind w:start="360"/>
        <w:ind w:firstLine="360"/>
      </w:pPr>
      <w:r>
        <w:rPr>
          <w:b/>
        </w:rPr>
        <w:t>3</w:t>
        <w:t xml:space="preserve">.  </w:t>
      </w:r>
      <w:r>
        <w:rPr>
          <w:b/>
        </w:rPr>
      </w:r>
      <w:r>
        <w:t xml:space="preserve"> </w:t>
      </w:r>
      <w:r>
        <w:t xml:space="preserve">Except as provided in </w:t>
      </w:r>
      <w:r>
        <w:t>subsections 1</w:t>
      </w:r>
      <w:r>
        <w:t xml:space="preserve"> and </w:t>
      </w:r>
      <w:r>
        <w:t>2</w:t>
      </w:r>
      <w:r>
        <w:t xml:space="preserve">, when concurrent jurisdiction has been established pursuant to </w:t>
      </w:r>
      <w:r>
        <w:t>Title 15, section 3101, subsection 2, paragraph F</w:t>
      </w:r>
      <w:r>
        <w:t xml:space="preserve">, the Juvenile Court has exclusive original jurisdiction over a case involving a juvenile who is alleged to have committed a juvenile crime as defined in </w:t>
      </w:r>
      <w:r>
        <w:t>Title 15, section 3103,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PL 2023, c. 605, §3 (AMD). </w:t>
      </w:r>
    </w:p>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jc w:val="center"/>
        <w:ind w:start="360"/>
        <w:spacing w:before="300" w:after="300"/>
      </w:pPr>
      <w:r>
        <w:rPr>
          <w:b/>
        </w:rPr>
        <w:t>CHAPTER</w:t>
        <w:t xml:space="preserve"> </w:t>
        <w:t>2</w:t>
      </w:r>
    </w:p>
    <w:p>
      <w:pPr>
        <w:jc w:val="center"/>
        <w:ind w:start="360"/>
        <w:spacing w:before="300" w:after="300"/>
      </w:pPr>
      <w:r>
        <w:rPr>
          <w:b/>
        </w:rPr>
        <w:t xml:space="preserve">CRIMINAL LIABILITY; ELEMENTS OF CRIMES</w:t>
      </w:r>
    </w:p>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jc w:val="center"/>
        <w:ind w:start="360"/>
        <w:spacing w:before="300" w:after="300"/>
      </w:pPr>
      <w:r>
        <w:rPr>
          <w:b/>
        </w:rPr>
        <w:t>CHAPTER</w:t>
        <w:t xml:space="preserve"> </w:t>
        <w:t>3</w:t>
      </w:r>
    </w:p>
    <w:p>
      <w:pPr>
        <w:jc w:val="center"/>
        <w:ind w:start="360"/>
        <w:spacing w:before="300" w:after="300"/>
      </w:pPr>
      <w:r>
        <w:rPr>
          <w:b/>
        </w:rPr>
        <w:t xml:space="preserve">CRIMINAL LIABILITY OF ACCOMPLICES, ORGANIZATIONS AND PLANTS</w:t>
      </w:r>
    </w:p>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jc w:val="center"/>
        <w:ind w:start="360"/>
        <w:spacing w:before="300" w:after="300"/>
      </w:pPr>
      <w:r>
        <w:rPr>
          <w:b/>
        </w:rPr>
        <w:t>CHAPTER</w:t>
        <w:t xml:space="preserve"> </w:t>
        <w:t>5</w:t>
      </w:r>
    </w:p>
    <w:p>
      <w:pPr>
        <w:jc w:val="center"/>
        <w:ind w:start="360"/>
        <w:spacing w:before="300" w:after="300"/>
      </w:pPr>
      <w:r>
        <w:rPr>
          <w:b/>
        </w:rPr>
        <w:t xml:space="preserve">DEFENSES AND AFFIRMATIVE DEFENSES; JUSTIFICATION</w:t>
      </w:r>
    </w:p>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jc w:val="center"/>
        <w:ind w:start="360"/>
        <w:spacing w:before="300" w:after="300"/>
      </w:pPr>
      <w:r>
        <w:rPr>
          <w:b/>
        </w:rPr>
        <w:t>PART</w:t>
        <w:t xml:space="preserve"> </w:t>
        <w:t>2</w:t>
      </w:r>
    </w:p>
    <w:p>
      <w:pPr>
        <w:jc w:val="center"/>
        <w:ind w:start="360"/>
        <w:spacing w:before="300" w:after="300"/>
      </w:pPr>
      <w:r>
        <w:rPr>
          <w:b/>
        </w:rPr>
        <w:t xml:space="preserve">SUBSTANTIVE OFFENSES</w:t>
      </w:r>
    </w:p>
    <w:p>
      <w:pPr>
        <w:jc w:val="center"/>
        <w:ind w:start="360"/>
        <w:spacing w:before="300" w:after="300"/>
      </w:pPr>
      <w:r>
        <w:rPr>
          <w:b/>
        </w:rPr>
        <w:t>CHAPTER</w:t>
        <w:t xml:space="preserve"> </w:t>
        <w:t>7</w:t>
      </w:r>
    </w:p>
    <w:p>
      <w:pPr>
        <w:jc w:val="center"/>
        <w:ind w:start="360"/>
        <w:spacing w:before="300" w:after="300"/>
      </w:pPr>
      <w:r>
        <w:rPr>
          <w:b/>
        </w:rPr>
        <w:t xml:space="preserve">OFFENSES OF GENERAL APPLICABILITY</w:t>
      </w:r>
    </w:p>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center"/>
        <w:ind w:start="360"/>
        <w:spacing w:before="300" w:after="300"/>
      </w:pPr>
      <w:r>
        <w:rPr>
          <w:b/>
        </w:rPr>
        <w:t>CHAPTER</w:t>
        <w:t xml:space="preserve"> </w:t>
        <w:t>9</w:t>
      </w:r>
    </w:p>
    <w:p>
      <w:pPr>
        <w:jc w:val="center"/>
        <w:ind w:start="360"/>
        <w:spacing w:before="300" w:after="300"/>
      </w:pPr>
      <w:r>
        <w:rPr>
          <w:b/>
        </w:rPr>
        <w:t xml:space="preserve">OFFENSES AGAINST THE PERSON</w:t>
      </w:r>
    </w:p>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intentionally, knowingly or recklessly communicates to any person a threat to commit or to cause to be committed a crime of violence dangerous to human life, against the person to whom the communication is made or another, consciously disregarding a substantial risk that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PL 2023, c. 519, §1 (AMD). </w:t>
      </w:r>
    </w:p>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w:t>
      </w:r>
    </w:p>
    <w:p>
      <w:pPr>
        <w:jc w:val="both"/>
        <w:spacing w:before="100" w:after="0"/>
        <w:ind w:start="1080"/>
      </w:pPr>
      <w:r>
        <w:rPr/>
        <w:t>(</w:t>
        <w:t>1</w:t>
        <w:t xml:space="preserve">)  </w:t>
      </w:r>
      <w:r>
        <w:rPr/>
      </w:r>
      <w:r>
        <w:t xml:space="preserve">Follows, monitors, tracks, observes, surveils or harasses a person;</w:t>
      </w:r>
    </w:p>
    <w:p>
      <w:pPr>
        <w:jc w:val="both"/>
        <w:spacing w:before="100" w:after="0"/>
        <w:ind w:start="1080"/>
      </w:pPr>
      <w:r>
        <w:rPr/>
        <w:t>(</w:t>
        <w:t>2</w:t>
        <w:t xml:space="preserve">)  </w:t>
      </w:r>
      <w:r>
        <w:rPr/>
      </w:r>
      <w:r>
        <w:t xml:space="preserve">Interferes with a person's property;</w:t>
      </w:r>
    </w:p>
    <w:p>
      <w:pPr>
        <w:jc w:val="both"/>
        <w:spacing w:before="100" w:after="0"/>
        <w:ind w:start="1080"/>
      </w:pPr>
      <w:r>
        <w:rPr/>
        <w:t>(</w:t>
        <w:t>3</w:t>
        <w:t xml:s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e">; or</w:t>
      </w:r>
    </w:p>
    <w:p>
      <w:pPr>
        <w:jc w:val="both"/>
        <w:spacing w:before="100" w:after="0"/>
        <w:ind w:start="1080"/>
      </w:pPr>
      <w:r>
        <w:rPr/>
        <w:t>(</w:t>
        <w:t>4</w:t>
        <w:t xml:space="preserve">)  </w:t>
      </w:r>
      <w:r>
        <w:rPr/>
      </w:r>
      <w:r>
        <w:t xml:space="preserve">Communicates to or about a person, consciously disregarding a substantial risk that the actor's conduct would cause a reasonable person to experience any of the effects identified in </w:t>
      </w:r>
      <w:r>
        <w:t>subsection 1, paragraph A</w:t>
      </w:r>
      <w:r>
        <w:t xml:space="preserve">.</w:t>
      </w:r>
    </w:p>
    <w:p>
      <w:pPr>
        <w:jc w:val="both"/>
        <w:spacing w:before="100" w:after="0"/>
        <w:ind w:start="720"/>
      </w:pPr>
      <w:r>
        <w:rPr/>
      </w:r>
      <w:r>
        <w:rPr/>
      </w:r>
      <w:r>
        <w:t xml:space="preserve">"Course of conduct" also includes, but is not limited to, threats implied by conduct and gaining unauthorized access to personal, medical, financial or other identifying or confidential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519, §2 (RPR).]</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PL 2023, c. 519, §2 (AMD). </w:t>
      </w:r>
    </w:p>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jc w:val="center"/>
        <w:ind w:start="360"/>
        <w:spacing w:before="300" w:after="300"/>
      </w:pPr>
      <w:r>
        <w:rPr>
          <w:b/>
        </w:rPr>
        <w:t>CHAPTER</w:t>
        <w:t xml:space="preserve"> </w:t>
        <w:t>11</w:t>
      </w:r>
    </w:p>
    <w:p>
      <w:pPr>
        <w:jc w:val="center"/>
        <w:ind w:start="360"/>
        <w:spacing w:before="300" w:after="300"/>
      </w:pPr>
      <w:r>
        <w:rPr>
          <w:b/>
        </w:rPr>
        <w:t xml:space="preserve">SEXUAL ASSAULTS</w:t>
      </w:r>
    </w:p>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jc w:val="center"/>
        <w:ind w:start="360"/>
        <w:spacing w:before="300" w:after="300"/>
      </w:pPr>
      <w:r>
        <w:rPr>
          <w:b/>
        </w:rPr>
        <w:t>CHAPTER</w:t>
        <w:t xml:space="preserve"> </w:t>
        <w:t>12</w:t>
      </w:r>
    </w:p>
    <w:p>
      <w:pPr>
        <w:jc w:val="center"/>
        <w:ind w:start="360"/>
        <w:spacing w:before="300" w:after="300"/>
      </w:pPr>
      <w:r>
        <w:rPr>
          <w:b/>
        </w:rPr>
        <w:t xml:space="preserve">SEXUAL EXPLOITATION OF MINORS</w:t>
      </w:r>
    </w:p>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center"/>
        <w:ind w:start="360"/>
        <w:spacing w:before="300" w:after="300"/>
      </w:pPr>
      <w:r>
        <w:rPr>
          <w:b/>
        </w:rPr>
        <w:t>CHAPTER</w:t>
        <w:t xml:space="preserve"> </w:t>
        <w:t>13</w:t>
      </w:r>
    </w:p>
    <w:p>
      <w:pPr>
        <w:jc w:val="center"/>
        <w:ind w:start="360"/>
        <w:spacing w:before="300" w:after="300"/>
      </w:pPr>
      <w:r>
        <w:rPr>
          <w:b/>
        </w:rPr>
        <w:t xml:space="preserve">KIDNAPPING, CRIMINAL RESTRAINT AND CRIMINAL FORCED LABOR</w:t>
      </w:r>
    </w:p>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center"/>
        <w:ind w:start="360"/>
        <w:spacing w:before="300" w:after="300"/>
      </w:pPr>
      <w:r>
        <w:rPr>
          <w:b/>
        </w:rPr>
        <w:t>CHAPTER</w:t>
        <w:t xml:space="preserve"> </w:t>
        <w:t>15</w:t>
      </w:r>
    </w:p>
    <w:p>
      <w:pPr>
        <w:jc w:val="center"/>
        <w:ind w:start="360"/>
        <w:spacing w:before="300" w:after="300"/>
      </w:pPr>
      <w:r>
        <w:rPr>
          <w:b/>
        </w:rPr>
        <w:t xml:space="preserve">THEFT</w:t>
      </w:r>
    </w:p>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jc w:val="center"/>
        <w:ind w:start="360"/>
        <w:spacing w:before="300" w:after="300"/>
      </w:pPr>
      <w:r>
        <w:rPr>
          <w:b/>
        </w:rPr>
        <w:t>CHAPTER</w:t>
        <w:t xml:space="preserve"> </w:t>
        <w:t>17</w:t>
      </w:r>
    </w:p>
    <w:p>
      <w:pPr>
        <w:jc w:val="center"/>
        <w:ind w:start="360"/>
        <w:spacing w:before="300" w:after="300"/>
      </w:pPr>
      <w:r>
        <w:rPr>
          <w:b/>
        </w:rPr>
        <w:t xml:space="preserve">BURGLARY AND CRIMINAL TRESPASS</w:t>
      </w:r>
    </w:p>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jc w:val="center"/>
        <w:ind w:start="360"/>
        <w:spacing w:before="300" w:after="300"/>
      </w:pPr>
      <w:r>
        <w:rPr>
          <w:b/>
        </w:rPr>
        <w:t>CHAPTER</w:t>
        <w:t xml:space="preserve"> </w:t>
        <w:t>18</w:t>
      </w:r>
    </w:p>
    <w:p>
      <w:pPr>
        <w:jc w:val="center"/>
        <w:ind w:start="360"/>
        <w:spacing w:before="300" w:after="300"/>
      </w:pPr>
      <w:r>
        <w:rPr>
          <w:b/>
        </w:rPr>
        <w:t xml:space="preserve">COMPUTER CRIMES</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center"/>
        <w:ind w:start="360"/>
        <w:spacing w:before="300" w:after="300"/>
      </w:pPr>
      <w:r>
        <w:rPr>
          <w:b/>
        </w:rPr>
        <w:t>CHAPTER</w:t>
        <w:t xml:space="preserve"> </w:t>
        <w:t>19</w:t>
      </w:r>
    </w:p>
    <w:p>
      <w:pPr>
        <w:jc w:val="center"/>
        <w:ind w:start="360"/>
        <w:spacing w:before="300" w:after="300"/>
      </w:pPr>
      <w:r>
        <w:rPr>
          <w:b/>
        </w:rPr>
        <w:t xml:space="preserve">FALSIFICATION IN OFFICIAL MATTERS</w:t>
      </w:r>
    </w:p>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jc w:val="center"/>
        <w:ind w:start="360"/>
        <w:spacing w:before="300" w:after="300"/>
      </w:pPr>
      <w:r>
        <w:rPr>
          <w:b/>
        </w:rPr>
        <w:t>CHAPTER</w:t>
        <w:t xml:space="preserve"> </w:t>
        <w:t>21</w:t>
      </w:r>
    </w:p>
    <w:p>
      <w:pPr>
        <w:jc w:val="center"/>
        <w:ind w:start="360"/>
        <w:spacing w:before="300" w:after="300"/>
      </w:pPr>
      <w:r>
        <w:rPr>
          <w:b/>
        </w:rPr>
        <w:t xml:space="preserve">OFFENSES AGAINST PUBLIC ORDER</w:t>
      </w:r>
    </w:p>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intentionally, knowingly or recklessly makes any comment, request, suggestion or proposal without the consent of the person called or contacted:</w:t>
      </w:r>
    </w:p>
    <w:p>
      <w:pPr>
        <w:jc w:val="both"/>
        <w:spacing w:before="100" w:after="0"/>
        <w:ind w:start="1080"/>
      </w:pPr>
      <w:r>
        <w:rPr/>
        <w:t>(</w:t>
        <w:t>1</w:t>
        <w:t xml:space="preserve">)  </w:t>
      </w:r>
      <w:r>
        <w:rPr/>
      </w:r>
      <w:r>
        <w:t xml:space="preserve">That is, in fact, obscene; or</w:t>
      </w:r>
    </w:p>
    <w:p>
      <w:pPr>
        <w:jc w:val="both"/>
        <w:spacing w:before="100" w:after="0"/>
        <w:ind w:start="1080"/>
      </w:pPr>
      <w:r>
        <w:rPr/>
        <w:t>(</w:t>
        <w:t>2</w:t>
        <w:t xml:space="preserve">)  </w:t>
      </w:r>
      <w:r>
        <w:rPr/>
      </w:r>
      <w:r>
        <w:t xml:space="preserve">With conscious disregard of a substantial risk that a reasonable person would find the comment, request, suggestion or proposal offensively coarse.</w:t>
      </w:r>
    </w:p>
    <w:p>
      <w:pPr>
        <w:jc w:val="both"/>
        <w:spacing w:before="100" w:after="0"/>
        <w:ind w:start="720"/>
      </w:pPr>
      <w:r>
        <w:rPr/>
      </w:r>
      <w:r>
        <w:rPr/>
      </w:r>
      <w:r>
        <w:t xml:space="preserve">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519, §3 (RPR).]</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§3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PL 2023, c. 519, §3 (AMD). </w:t>
      </w:r>
    </w:p>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jc w:val="center"/>
        <w:ind w:start="360"/>
        <w:spacing w:before="300" w:after="300"/>
      </w:pPr>
      <w:r>
        <w:rPr>
          <w:b/>
        </w:rPr>
        <w:t>CHAPTER</w:t>
        <w:t xml:space="preserve"> </w:t>
        <w:t>23</w:t>
      </w:r>
    </w:p>
    <w:p>
      <w:pPr>
        <w:jc w:val="center"/>
        <w:ind w:start="360"/>
        <w:spacing w:before="300" w:after="300"/>
      </w:pPr>
      <w:r>
        <w:rPr>
          <w:b/>
        </w:rPr>
        <w:t xml:space="preserve">OFFENSES AGAINST THE FAMILY</w:t>
      </w:r>
    </w:p>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jc w:val="center"/>
        <w:ind w:start="360"/>
        <w:spacing w:before="300" w:after="300"/>
      </w:pPr>
      <w:r>
        <w:rPr>
          <w:b/>
        </w:rPr>
        <w:t>CHAPTER</w:t>
        <w:t xml:space="preserve"> </w:t>
        <w:t>25</w:t>
      </w:r>
    </w:p>
    <w:p>
      <w:pPr>
        <w:jc w:val="center"/>
        <w:ind w:start="360"/>
        <w:spacing w:before="300" w:after="300"/>
      </w:pPr>
      <w:r>
        <w:rPr>
          <w:b/>
        </w:rPr>
        <w:t xml:space="preserve">BRIBERY AND CORRUPT PRACTICES</w:t>
      </w:r>
    </w:p>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jc w:val="center"/>
        <w:ind w:start="360"/>
        <w:spacing w:before="300" w:after="300"/>
      </w:pPr>
      <w:r>
        <w:rPr>
          <w:b/>
        </w:rPr>
        <w:t>CHAPTER</w:t>
        <w:t xml:space="preserve"> </w:t>
        <w:t>27</w:t>
      </w:r>
    </w:p>
    <w:p>
      <w:pPr>
        <w:jc w:val="center"/>
        <w:ind w:start="360"/>
        <w:spacing w:before="300" w:after="300"/>
      </w:pPr>
      <w:r>
        <w:rPr>
          <w:b/>
        </w:rPr>
        <w:t xml:space="preserve">ROBBERY</w:t>
      </w:r>
    </w:p>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jc w:val="center"/>
        <w:ind w:start="360"/>
        <w:spacing w:before="300" w:after="300"/>
      </w:pPr>
      <w:r>
        <w:rPr>
          <w:b/>
        </w:rPr>
        <w:t>CHAPTER</w:t>
        <w:t xml:space="preserve"> </w:t>
        <w:t>29</w:t>
      </w:r>
    </w:p>
    <w:p>
      <w:pPr>
        <w:jc w:val="center"/>
        <w:ind w:start="360"/>
        <w:spacing w:before="300" w:after="300"/>
      </w:pPr>
      <w:r>
        <w:rPr>
          <w:b/>
        </w:rPr>
        <w:t xml:space="preserve">FORGERY AND RELATED OFFENSES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jc w:val="center"/>
        <w:ind w:start="360"/>
        <w:spacing w:before="300" w:after="300"/>
      </w:pPr>
      <w:r>
        <w:rPr>
          <w:b/>
        </w:rPr>
        <w:t>CHAPTER</w:t>
        <w:t xml:space="preserve"> </w:t>
        <w:t>31</w:t>
      </w:r>
    </w:p>
    <w:p>
      <w:pPr>
        <w:jc w:val="center"/>
        <w:ind w:start="360"/>
        <w:spacing w:before="300" w:after="300"/>
      </w:pPr>
      <w:r>
        <w:rPr>
          <w:b/>
        </w:rPr>
        <w:t xml:space="preserve">OFFENSES AGAINST PUBLIC ADMINISTRATION</w:t>
      </w:r>
    </w:p>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jc w:val="center"/>
        <w:ind w:start="360"/>
        <w:spacing w:before="300" w:after="300"/>
      </w:pPr>
      <w:r>
        <w:rPr>
          <w:b/>
        </w:rPr>
        <w:t>CHAPTER</w:t>
        <w:t xml:space="preserve"> </w:t>
        <w:t>33</w:t>
      </w:r>
    </w:p>
    <w:p>
      <w:pPr>
        <w:jc w:val="center"/>
        <w:ind w:start="360"/>
        <w:spacing w:before="300" w:after="300"/>
      </w:pPr>
      <w:r>
        <w:rPr>
          <w:b/>
        </w:rPr>
        <w:t xml:space="preserve">ARSON AND OTHER PROPERTY DESTRUCTION</w:t>
      </w:r>
    </w:p>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jc w:val="center"/>
        <w:ind w:start="360"/>
        <w:spacing w:before="300" w:after="300"/>
      </w:pPr>
      <w:r>
        <w:rPr>
          <w:b/>
        </w:rPr>
        <w:t>CHAPTER</w:t>
        <w:t xml:space="preserve"> </w:t>
        <w:t>35</w:t>
      </w:r>
    </w:p>
    <w:p>
      <w:pPr>
        <w:jc w:val="center"/>
        <w:ind w:start="360"/>
        <w:spacing w:before="300" w:after="300"/>
      </w:pPr>
      <w:r>
        <w:rPr>
          <w:b/>
        </w:rPr>
        <w:t xml:space="preserve">SEX TRAFFICKING, PROSTITUTION AND PUBLIC INDECENCY</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jc w:val="center"/>
        <w:ind w:start="360"/>
        <w:spacing w:before="300" w:after="300"/>
      </w:pPr>
      <w:r>
        <w:rPr>
          <w:b/>
        </w:rPr>
        <w:t>CHAPTER</w:t>
        <w:t xml:space="preserve"> </w:t>
        <w:t>37</w:t>
      </w:r>
    </w:p>
    <w:p>
      <w:pPr>
        <w:jc w:val="center"/>
        <w:ind w:start="360"/>
        <w:spacing w:before="300" w:after="300"/>
      </w:pPr>
      <w:r>
        <w:rPr>
          <w:b/>
        </w:rPr>
        <w:t xml:space="preserve">FRAUD</w:t>
      </w:r>
    </w:p>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jc w:val="center"/>
        <w:ind w:start="360"/>
        <w:spacing w:before="300" w:after="300"/>
      </w:pPr>
      <w:r>
        <w:rPr>
          <w:b/>
        </w:rPr>
        <w:t>CHAPTER</w:t>
        <w:t xml:space="preserve"> </w:t>
        <w:t>39</w:t>
      </w:r>
    </w:p>
    <w:p>
      <w:pPr>
        <w:jc w:val="center"/>
        <w:ind w:start="360"/>
        <w:spacing w:before="300" w:after="300"/>
      </w:pPr>
      <w:r>
        <w:rPr>
          <w:b/>
        </w:rPr>
        <w:t xml:space="preserve">UNLAWFUL GAMBLING</w:t>
      </w:r>
    </w:p>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jc w:val="center"/>
        <w:ind w:start="360"/>
        <w:spacing w:before="300" w:after="300"/>
      </w:pPr>
      <w:r>
        <w:rPr>
          <w:b/>
        </w:rPr>
        <w:t>CHAPTER</w:t>
        <w:t xml:space="preserve"> </w:t>
        <w:t>41</w:t>
      </w:r>
    </w:p>
    <w:p>
      <w:pPr>
        <w:jc w:val="center"/>
        <w:ind w:start="360"/>
        <w:spacing w:before="300" w:after="300"/>
      </w:pPr>
      <w:r>
        <w:rPr>
          <w:b/>
        </w:rPr>
        <w:t xml:space="preserve">CRIMINAL USE OF EXPLOSIVES AND RELATED CRIMES</w:t>
      </w:r>
    </w:p>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jc w:val="center"/>
        <w:ind w:start="360"/>
        <w:spacing w:before="300" w:after="300"/>
      </w:pPr>
      <w:r>
        <w:rPr>
          <w:b/>
        </w:rPr>
        <w:t>CHAPTER</w:t>
        <w:t xml:space="preserve"> </w:t>
        <w:t>43</w:t>
      </w:r>
    </w:p>
    <w:p>
      <w:pPr>
        <w:jc w:val="center"/>
        <w:ind w:start="360"/>
        <w:spacing w:before="300" w:after="300"/>
      </w:pPr>
      <w:r>
        <w:rPr>
          <w:b/>
        </w:rPr>
        <w:t xml:space="preserve">WEAPONS</w:t>
      </w:r>
    </w:p>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jc w:val="center"/>
        <w:ind w:start="360"/>
        <w:spacing w:before="300" w:after="300"/>
      </w:pPr>
      <w:r>
        <w:rPr>
          <w:b/>
        </w:rPr>
        <w:t>CHAPTER</w:t>
        <w:t xml:space="preserve"> </w:t>
        <w:t>45</w:t>
      </w:r>
    </w:p>
    <w:p>
      <w:pPr>
        <w:jc w:val="center"/>
        <w:ind w:start="360"/>
        <w:spacing w:before="300" w:after="300"/>
      </w:pPr>
      <w:r>
        <w:rPr>
          <w:b/>
        </w:rPr>
        <w:t xml:space="preserve">DRUGS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p>
    <w:p>
      <w:pPr>
        <w:jc w:val="both"/>
        <w:spacing w:before="100" w:after="0"/>
        <w:ind w:start="1080"/>
      </w:pPr>
      <w:r>
        <w:rPr/>
        <w:t>(</w:t>
        <w:t>22</w:t>
        <w:t xml:space="preserve">)  </w:t>
      </w:r>
      <w:r>
        <w:rPr/>
      </w:r>
      <w:r>
        <w:t xml:space="preserve">OUI as described in </w:t>
      </w:r>
      <w:r>
        <w:t>Title 29‑A, section 2411</w:t>
      </w:r>
      <w:r>
        <w:t xml:space="preserve">; and</w:t>
      </w:r>
    </w:p>
    <w:p>
      <w:pPr>
        <w:jc w:val="both"/>
        <w:spacing w:before="100" w:after="0"/>
        <w:ind w:start="1080"/>
      </w:pPr>
      <w:r>
        <w:rPr/>
        <w:t>(</w:t>
        <w:t>23</w:t>
        <w:t xml:space="preserve">)  </w:t>
      </w:r>
      <w:r>
        <w:rPr/>
      </w:r>
      <w:r>
        <w:t xml:space="preserve">Operating or attempting to operate a watercraft under the influence as described in </w:t>
      </w:r>
      <w:r>
        <w:t>Title 12, section 10701, subsection 1‑A, paragraph B</w:t>
      </w:r>
      <w:r>
        <w:t xml:space="preserve">, a snowmobile under the influence as described in </w:t>
      </w:r>
      <w:r>
        <w:t>Title 12, section 10701, subsection 1‑A, paragraph C</w:t>
      </w:r>
      <w:r>
        <w:t xml:space="preserve"> or an ATV under the influence as described in </w:t>
      </w:r>
      <w:r>
        <w:t>Title 12, 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507, §§1-4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507, §§1-4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PL 2023, c. 507, §§1-4 (AMD). </w:t>
      </w:r>
    </w:p>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jc w:val="center"/>
        <w:ind w:start="360"/>
        <w:spacing w:before="300" w:after="300"/>
      </w:pPr>
      <w:r>
        <w:rPr>
          <w:b/>
        </w:rPr>
        <w:t>PART</w:t>
        <w:t xml:space="preserve"> </w:t>
        <w:t>3</w:t>
      </w:r>
    </w:p>
    <w:p>
      <w:pPr>
        <w:jc w:val="center"/>
        <w:ind w:start="360"/>
        <w:spacing w:before="300" w:after="300"/>
      </w:pPr>
      <w:r>
        <w:rPr>
          <w:b/>
        </w:rPr>
        <w:t>CHAPTER</w:t>
        <w:t xml:space="preserve"> </w:t>
        <w:t>47</w:t>
      </w:r>
    </w:p>
    <w:p>
      <w:pPr>
        <w:jc w:val="center"/>
        <w:ind w:start="360"/>
        <w:spacing w:before="300" w:after="300"/>
      </w:pPr>
      <w:r>
        <w:rPr>
          <w:b/>
        </w:rPr>
        <w:t xml:space="preserve">GENERAL SENTENCING PROVISIONS</w:t>
      </w:r>
    </w:p>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jc w:val="center"/>
        <w:ind w:start="360"/>
        <w:spacing w:before="300" w:after="300"/>
      </w:pPr>
      <w:r>
        <w:rPr>
          <w:b/>
        </w:rPr>
        <w:t>CHAPTER</w:t>
        <w:t xml:space="preserve"> </w:t>
        <w:t>48</w:t>
      </w:r>
    </w:p>
    <w:p>
      <w:pPr>
        <w:jc w:val="center"/>
        <w:ind w:start="360"/>
        <w:spacing w:before="300" w:after="300"/>
      </w:pPr>
      <w:r>
        <w:rPr>
          <w:b/>
        </w:rPr>
        <w:t xml:space="preserve">VICTIMS' RIGHTS</w:t>
      </w:r>
    </w:p>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jc w:val="center"/>
        <w:ind w:start="360"/>
        <w:spacing w:before="300" w:after="300"/>
      </w:pPr>
      <w:r>
        <w:rPr>
          <w:b/>
        </w:rPr>
        <w:t>CHAPTER</w:t>
        <w:t xml:space="preserve"> </w:t>
        <w:t>49</w:t>
      </w:r>
    </w:p>
    <w:p>
      <w:pPr>
        <w:jc w:val="center"/>
        <w:ind w:start="360"/>
        <w:spacing w:before="300" w:after="300"/>
      </w:pPr>
      <w:r>
        <w:rPr>
          <w:b/>
        </w:rPr>
        <w:t xml:space="preserve">PROBATION</w:t>
      </w:r>
    </w:p>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jc w:val="center"/>
        <w:ind w:start="360"/>
        <w:spacing w:before="300" w:after="300"/>
      </w:pPr>
      <w:r>
        <w:rPr>
          <w:b/>
        </w:rPr>
        <w:t>CHAPTER</w:t>
        <w:t xml:space="preserve"> </w:t>
        <w:t>50</w:t>
      </w:r>
    </w:p>
    <w:p>
      <w:pPr>
        <w:jc w:val="center"/>
        <w:ind w:start="360"/>
        <w:spacing w:before="300" w:after="300"/>
      </w:pPr>
      <w:r>
        <w:rPr>
          <w:b/>
        </w:rPr>
        <w:t xml:space="preserve">SUPERVISED RELEASE FOR SEX OFFENDERS</w:t>
      </w:r>
    </w:p>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jc w:val="center"/>
        <w:ind w:start="360"/>
        <w:spacing w:before="300" w:after="300"/>
      </w:pPr>
      <w:r>
        <w:rPr>
          <w:b/>
        </w:rPr>
        <w:t>CHAPTER</w:t>
        <w:t xml:space="preserve"> </w:t>
        <w:t>51</w:t>
      </w:r>
    </w:p>
    <w:p>
      <w:pPr>
        <w:jc w:val="center"/>
        <w:ind w:start="360"/>
        <w:spacing w:before="300" w:after="300"/>
      </w:pPr>
      <w:r>
        <w:rPr>
          <w:b/>
        </w:rPr>
        <w:t xml:space="preserve">SENTENCES OF IMPRISONMENT</w:t>
      </w:r>
    </w:p>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jc w:val="center"/>
        <w:ind w:start="360"/>
        <w:spacing w:before="300" w:after="300"/>
      </w:pPr>
      <w:r>
        <w:rPr>
          <w:b/>
        </w:rPr>
        <w:t>CHAPTER</w:t>
        <w:t xml:space="preserve"> </w:t>
        <w:t>52</w:t>
      </w:r>
    </w:p>
    <w:p>
      <w:pPr>
        <w:jc w:val="center"/>
        <w:ind w:start="360"/>
        <w:spacing w:before="300" w:after="300"/>
      </w:pPr>
      <w:r>
        <w:rPr>
          <w:b/>
        </w:rPr>
        <w:t xml:space="preserve">INTENSIVE SUPERVISION</w:t>
      </w:r>
    </w:p>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jc w:val="center"/>
        <w:ind w:start="360"/>
        <w:spacing w:before="300" w:after="300"/>
      </w:pPr>
      <w:r>
        <w:rPr>
          <w:b/>
        </w:rPr>
        <w:t>CHAPTER</w:t>
        <w:t xml:space="preserve"> </w:t>
        <w:t>53</w:t>
      </w:r>
    </w:p>
    <w:p>
      <w:pPr>
        <w:jc w:val="center"/>
        <w:ind w:start="360"/>
        <w:spacing w:before="300" w:after="300"/>
      </w:pPr>
      <w:r>
        <w:rPr>
          <w:b/>
        </w:rPr>
        <w:t xml:space="preserve">FINES</w:t>
      </w:r>
    </w:p>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jc w:val="center"/>
        <w:ind w:start="360"/>
        <w:spacing w:before="300" w:after="300"/>
      </w:pPr>
      <w:r>
        <w:rPr>
          <w:b/>
        </w:rPr>
        <w:t>CHAPTER</w:t>
        <w:t xml:space="preserve"> </w:t>
        <w:t>54</w:t>
      </w:r>
    </w:p>
    <w:p>
      <w:pPr>
        <w:jc w:val="center"/>
        <w:ind w:start="360"/>
        <w:spacing w:before="300" w:after="300"/>
      </w:pPr>
      <w:r>
        <w:rPr>
          <w:b/>
        </w:rPr>
        <w:t xml:space="preserve">RESTITUTION</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jc w:val="center"/>
        <w:ind w:start="360"/>
        <w:spacing w:before="300" w:after="300"/>
      </w:pPr>
      <w:r>
        <w:rPr>
          <w:b/>
        </w:rPr>
        <w:t>CHAPTER</w:t>
        <w:t xml:space="preserve"> </w:t>
        <w:t>54-A</w:t>
      </w:r>
    </w:p>
    <w:p>
      <w:pPr>
        <w:jc w:val="center"/>
        <w:ind w:start="360"/>
        <w:spacing w:before="300" w:after="300"/>
      </w:pPr>
      <w:r>
        <w:rPr>
          <w:b/>
        </w:rPr>
        <w:t xml:space="preserve">PROTECTIVE ORDER</w:t>
      </w:r>
    </w:p>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jc w:val="center"/>
        <w:ind w:start="360"/>
        <w:spacing w:before="300" w:after="300"/>
      </w:pPr>
      <w:r>
        <w:rPr>
          <w:b/>
        </w:rPr>
        <w:t>CHAPTER</w:t>
        <w:t xml:space="preserve"> </w:t>
        <w:t>54-B</w:t>
      </w:r>
    </w:p>
    <w:p>
      <w:pPr>
        <w:jc w:val="center"/>
        <w:ind w:start="360"/>
        <w:spacing w:before="300" w:after="300"/>
      </w:pPr>
      <w:r>
        <w:rPr>
          <w:b/>
        </w:rPr>
        <w:t xml:space="preserve">COUNTY JAIL REIMBURSEMENT</w:t>
      </w:r>
    </w:p>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jc w:val="center"/>
        <w:ind w:start="360"/>
        <w:spacing w:before="300" w:after="300"/>
      </w:pPr>
      <w:r>
        <w:rPr>
          <w:b/>
        </w:rPr>
        <w:t>CHAPTER</w:t>
        <w:t xml:space="preserve"> </w:t>
        <w:t>54-C</w:t>
      </w:r>
    </w:p>
    <w:p>
      <w:pPr>
        <w:jc w:val="center"/>
        <w:ind w:start="360"/>
        <w:spacing w:before="300" w:after="300"/>
      </w:pPr>
      <w:r>
        <w:rPr>
          <w:b/>
        </w:rPr>
        <w:t xml:space="preserve">COMMUNITY SERVICE WORK</w:t>
      </w:r>
    </w:p>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jc w:val="center"/>
        <w:ind w:start="360"/>
        <w:spacing w:before="300" w:after="300"/>
      </w:pPr>
      <w:r>
        <w:rPr>
          <w:b/>
        </w:rPr>
        <w:t>CHAPTER</w:t>
        <w:t xml:space="preserve"> </w:t>
        <w:t>54-D</w:t>
      </w:r>
    </w:p>
    <w:p>
      <w:pPr>
        <w:jc w:val="center"/>
        <w:ind w:start="360"/>
        <w:spacing w:before="300" w:after="300"/>
      </w:pPr>
      <w:r>
        <w:rPr>
          <w:b/>
        </w:rPr>
        <w:t xml:space="preserve">UNCONDITIONAL DISCHARGE</w:t>
      </w:r>
    </w:p>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jc w:val="center"/>
        <w:ind w:start="360"/>
        <w:spacing w:before="300" w:after="300"/>
      </w:pPr>
      <w:r>
        <w:rPr>
          <w:b/>
        </w:rPr>
        <w:t>CHAPTER</w:t>
        <w:t xml:space="preserve"> </w:t>
        <w:t>54-E</w:t>
      </w:r>
    </w:p>
    <w:p>
      <w:pPr>
        <w:jc w:val="center"/>
        <w:ind w:start="360"/>
        <w:spacing w:before="300" w:after="300"/>
      </w:pPr>
      <w:r>
        <w:rPr>
          <w:b/>
        </w:rPr>
        <w:t xml:space="preserve">VIOLATION OF INTERSTATE COMPACT</w:t>
      </w:r>
    </w:p>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jc w:val="center"/>
        <w:ind w:start="360"/>
        <w:spacing w:before="300" w:after="300"/>
      </w:pPr>
      <w:r>
        <w:rPr>
          <w:b/>
        </w:rPr>
        <w:t>CHAPTER</w:t>
        <w:t xml:space="preserve"> </w:t>
        <w:t>54-F</w:t>
      </w:r>
    </w:p>
    <w:p>
      <w:pPr>
        <w:jc w:val="center"/>
        <w:ind w:start="360"/>
        <w:spacing w:before="300" w:after="300"/>
      </w:pPr>
      <w:r>
        <w:rPr>
          <w:b/>
        </w:rPr>
        <w:t xml:space="preserve">DEFERRED DISPOSITION</w:t>
      </w:r>
    </w:p>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center"/>
        <w:ind w:start="360"/>
        <w:spacing w:before="300" w:after="300"/>
      </w:pPr>
      <w:r>
        <w:rPr>
          <w:b/>
        </w:rPr>
        <w:t>CHAPTER</w:t>
        <w:t xml:space="preserve"> </w:t>
        <w:t>54-G</w:t>
      </w:r>
    </w:p>
    <w:p>
      <w:pPr>
        <w:jc w:val="center"/>
        <w:ind w:start="360"/>
        <w:spacing w:before="300" w:after="300"/>
      </w:pPr>
      <w:r>
        <w:rPr>
          <w:b/>
        </w:rPr>
        <w:t xml:space="preserve">ADMINISTRATIVE RELEASE</w:t>
      </w:r>
    </w:p>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center"/>
        <w:ind w:start="360"/>
        <w:spacing w:before="300" w:after="300"/>
      </w:pPr>
      <w:r>
        <w:rPr>
          <w:b/>
        </w:rPr>
        <w:t>PART</w:t>
        <w:t xml:space="preserve"> </w:t>
        <w:t>4</w:t>
      </w:r>
    </w:p>
    <w:p>
      <w:pPr>
        <w:jc w:val="center"/>
        <w:ind w:start="360"/>
        <w:spacing w:before="300" w:after="300"/>
      </w:pPr>
      <w:r>
        <w:rPr>
          <w:b/>
        </w:rPr>
        <w:t xml:space="preserve">REVISION OF CRIMINAL LAWS</w:t>
      </w:r>
    </w:p>
    <w:p>
      <w:pPr>
        <w:jc w:val="center"/>
        <w:ind w:start="360"/>
        <w:spacing w:before="300" w:after="300"/>
      </w:pPr>
      <w:r>
        <w:rPr>
          <w:b/>
        </w:rPr>
        <w:t>CHAPTER</w:t>
        <w:t xml:space="preserve"> </w:t>
        <w:t>55</w:t>
      </w:r>
    </w:p>
    <w:p>
      <w:pPr>
        <w:jc w:val="center"/>
        <w:ind w:start="360"/>
        <w:spacing w:before="300" w:after="300"/>
      </w:pPr>
      <w:r>
        <w:rPr>
          <w:b/>
        </w:rPr>
        <w:t xml:space="preserve">CRIMINAL LAW ADVISORY COMMISSION</w:t>
      </w:r>
    </w:p>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jc w:val="center"/>
        <w:ind w:start="360"/>
        <w:spacing w:before="300" w:after="300"/>
      </w:pPr>
      <w:r>
        <w:rPr>
          <w:b/>
        </w:rPr>
        <w:t>PART</w:t>
        <w:t xml:space="preserve"> </w:t>
        <w:t>5</w:t>
      </w:r>
    </w:p>
    <w:p>
      <w:pPr>
        <w:jc w:val="center"/>
        <w:ind w:start="360"/>
        <w:spacing w:before="300" w:after="300"/>
      </w:pPr>
      <w:r>
        <w:rPr>
          <w:b/>
        </w:rPr>
        <w:t xml:space="preserve">RISK ASSESSMENT OF SEX OFFENDERS</w:t>
      </w:r>
    </w:p>
    <w:p>
      <w:pPr>
        <w:jc w:val="center"/>
        <w:ind w:start="360"/>
        <w:spacing w:before="300" w:after="300"/>
      </w:pPr>
      <w:r>
        <w:rPr>
          <w:b/>
        </w:rPr>
        <w:t>CHAPTER</w:t>
        <w:t xml:space="preserve"> </w:t>
        <w:t>57</w:t>
      </w:r>
    </w:p>
    <w:p>
      <w:pPr>
        <w:jc w:val="center"/>
        <w:ind w:start="360"/>
        <w:spacing w:before="300" w:after="300"/>
      </w:pPr>
      <w:r>
        <w:rPr>
          <w:b/>
        </w:rPr>
        <w:t xml:space="preserve">SEX OFFENDER RISK ASSESSMENT ADVISORY COMMISSION</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center"/>
        <w:ind w:start="360"/>
        <w:spacing w:before="300" w:after="300"/>
      </w:pPr>
      <w:r>
        <w:rPr>
          <w:b/>
        </w:rPr>
        <w:t>PART</w:t>
        <w:t xml:space="preserve"> </w:t>
        <w:t>6</w:t>
      </w:r>
    </w:p>
    <w:p>
      <w:pPr>
        <w:jc w:val="center"/>
        <w:ind w:start="360"/>
        <w:spacing w:before="300" w:after="300"/>
      </w:pPr>
      <w:r>
        <w:rPr>
          <w:b/>
        </w:rPr>
        <w:t xml:space="preserve">PUNISHMENTS</w:t>
      </w:r>
    </w:p>
    <w:p>
      <w:pPr>
        <w:jc w:val="center"/>
        <w:ind w:start="360"/>
        <w:spacing w:before="300" w:after="300"/>
      </w:pPr>
      <w:r>
        <w:rPr>
          <w:b/>
        </w:rPr>
        <w:t>CHAPTER</w:t>
        <w:t xml:space="preserve"> </w:t>
        <w:t>61</w:t>
      </w:r>
    </w:p>
    <w:p>
      <w:pPr>
        <w:jc w:val="center"/>
        <w:ind w:start="360"/>
        <w:spacing w:before="300" w:after="300"/>
      </w:pPr>
      <w:r>
        <w:rPr>
          <w:b/>
        </w:rPr>
        <w:t xml:space="preserve">GENERAL SENTENCING PROVISIONS</w:t>
      </w:r>
    </w:p>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63</w:t>
      </w:r>
    </w:p>
    <w:p>
      <w:pPr>
        <w:jc w:val="center"/>
        <w:ind w:start="360"/>
        <w:spacing w:before="300" w:after="300"/>
      </w:pPr>
      <w:r>
        <w:rPr>
          <w:b/>
        </w:rPr>
        <w:t xml:space="preserve">SENTENCES OF IMPRISONMENT</w:t>
      </w:r>
    </w:p>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former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former section 853‑A.</w:t>
      </w:r>
      <w:r>
        <w:t xml:space="preserve">  </w:t>
      </w:r>
      <w:r xmlns:wp="http://schemas.openxmlformats.org/drawingml/2010/wordprocessingDrawing" xmlns:w15="http://schemas.microsoft.com/office/word/2012/wordml">
        <w:rPr>
          <w:rFonts w:ascii="Arial" w:hAnsi="Arial" w:cs="Arial"/>
          <w:sz w:val="22"/>
          <w:szCs w:val="22"/>
        </w:rPr>
        <w:t xml:space="preserve">[PL 2023, c. 557, §4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§4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PL 2023, c. 557, §4 (AMD). </w:t>
      </w:r>
    </w:p>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65</w:t>
      </w:r>
    </w:p>
    <w:p>
      <w:pPr>
        <w:jc w:val="center"/>
        <w:ind w:start="360"/>
        <w:spacing w:before="300" w:after="300"/>
      </w:pPr>
      <w:r>
        <w:rPr>
          <w:b/>
        </w:rPr>
        <w:t xml:space="preserve">FINES, FEES, ASSESSMENTS AND SURCHARGES</w:t>
      </w:r>
    </w:p>
    <w:p>
      <w:pPr>
        <w:jc w:val="center"/>
        <w:ind w:start="360"/>
        <w:spacing w:before="300" w:after="300"/>
      </w:pPr>
      <w:r>
        <w:rPr>
          <w:b/>
        </w:rPr>
        <w:t>SUBCHAPTER</w:t>
        <w:t xml:space="preserve"> </w:t>
        <w:t>1</w:t>
      </w:r>
    </w:p>
    <w:p>
      <w:pPr>
        <w:jc w:val="center"/>
        <w:ind w:start="360"/>
        <w:spacing w:before="300" w:after="300"/>
      </w:pPr>
      <w:r>
        <w:rPr>
          <w:b/>
        </w:rPr>
        <w:t xml:space="preserve">FINES</w:t>
      </w:r>
    </w:p>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2</w:t>
      </w:r>
    </w:p>
    <w:p>
      <w:pPr>
        <w:jc w:val="center"/>
        <w:ind w:start="360"/>
        <w:spacing w:before="300" w:after="300"/>
      </w:pPr>
      <w:r>
        <w:rPr>
          <w:b/>
        </w:rPr>
        <w:t xml:space="preserve">FEES, ASSESSMENTS AND SURCHARGES</w:t>
      </w:r>
    </w:p>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67</w:t>
      </w:r>
    </w:p>
    <w:p>
      <w:pPr>
        <w:jc w:val="center"/>
        <w:ind w:start="360"/>
        <w:spacing w:before="300" w:after="300"/>
      </w:pPr>
      <w:r>
        <w:rPr>
          <w:b/>
        </w:rPr>
        <w:t xml:space="preserve">CONDITIONAL RELEASE</w:t>
      </w:r>
    </w:p>
    <w:p>
      <w:pPr>
        <w:jc w:val="center"/>
        <w:ind w:start="360"/>
        <w:spacing w:before="300" w:after="300"/>
      </w:pPr>
      <w:r>
        <w:rPr>
          <w:b/>
        </w:rPr>
        <w:t>SUBCHAPTER</w:t>
        <w:t xml:space="preserve"> </w:t>
        <w:t>1</w:t>
      </w:r>
    </w:p>
    <w:p>
      <w:pPr>
        <w:jc w:val="center"/>
        <w:ind w:start="360"/>
        <w:spacing w:before="300" w:after="300"/>
      </w:pPr>
      <w:r>
        <w:rPr>
          <w:b/>
        </w:rPr>
        <w:t xml:space="preserve">PROBATION</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chapter 9 or 13 or section 758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Title 19‑A, section 4116,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§25 (COR).]</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RR 2023, c. 2, Pt. A, §25 (COR). </w:t>
      </w:r>
    </w:p>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jc w:val="center"/>
        <w:ind w:start="360"/>
        <w:spacing w:before="300" w:after="300"/>
      </w:pPr>
      <w:r>
        <w:rPr>
          <w:b/>
        </w:rPr>
        <w:t>SUBCHAPTER</w:t>
        <w:t xml:space="preserve"> </w:t>
        <w:t>2</w:t>
      </w:r>
    </w:p>
    <w:p>
      <w:pPr>
        <w:jc w:val="center"/>
        <w:ind w:start="360"/>
        <w:spacing w:before="300" w:after="300"/>
      </w:pPr>
      <w:r>
        <w:rPr>
          <w:b/>
        </w:rPr>
        <w:t xml:space="preserve">ADMINISTRATIVE RELEASE</w:t>
      </w:r>
    </w:p>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3</w:t>
      </w:r>
    </w:p>
    <w:p>
      <w:pPr>
        <w:jc w:val="center"/>
        <w:ind w:start="360"/>
        <w:spacing w:before="300" w:after="300"/>
      </w:pPr>
      <w:r>
        <w:rPr>
          <w:b/>
        </w:rPr>
        <w:t xml:space="preserve">SUPERVISED RELEASE FOR SEX OFFENDERS</w:t>
      </w:r>
    </w:p>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4</w:t>
      </w:r>
    </w:p>
    <w:p>
      <w:pPr>
        <w:jc w:val="center"/>
        <w:ind w:start="360"/>
        <w:spacing w:before="300" w:after="300"/>
      </w:pPr>
      <w:r>
        <w:rPr>
          <w:b/>
        </w:rPr>
        <w:t xml:space="preserve">DEFERRED DISPOSITION</w:t>
      </w:r>
    </w:p>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69</w:t>
      </w:r>
    </w:p>
    <w:p>
      <w:pPr>
        <w:jc w:val="center"/>
        <w:ind w:start="360"/>
        <w:spacing w:before="300" w:after="300"/>
      </w:pPr>
      <w:r>
        <w:rPr>
          <w:b/>
        </w:rPr>
        <w:t xml:space="preserve">RESTITUTION</w:t>
      </w:r>
    </w:p>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71</w:t>
      </w:r>
    </w:p>
    <w:p>
      <w:pPr>
        <w:jc w:val="center"/>
        <w:ind w:start="360"/>
        <w:spacing w:before="300" w:after="300"/>
      </w:pPr>
      <w:r>
        <w:rPr>
          <w:b/>
        </w:rPr>
        <w:t xml:space="preserve">COMMUNITY SERVICE WORK</w:t>
      </w:r>
    </w:p>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73</w:t>
      </w:r>
    </w:p>
    <w:p>
      <w:pPr>
        <w:jc w:val="center"/>
        <w:ind w:start="360"/>
        <w:spacing w:before="300" w:after="300"/>
      </w:pPr>
      <w:r>
        <w:rPr>
          <w:b/>
        </w:rPr>
        <w:t xml:space="preserve">UNCONDITIONAL DISCHARGE</w:t>
      </w:r>
    </w:p>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75</w:t>
      </w:r>
    </w:p>
    <w:p>
      <w:pPr>
        <w:jc w:val="center"/>
        <w:ind w:start="360"/>
        <w:spacing w:before="300" w:after="300"/>
      </w:pPr>
      <w:r>
        <w:rPr>
          <w:b/>
        </w:rPr>
        <w:t xml:space="preserve">VICTIMS' RIGHTS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PART</w:t>
        <w:t xml:space="preserve"> </w:t>
        <w:t>7</w:t>
      </w:r>
    </w:p>
    <w:p>
      <w:pPr>
        <w:jc w:val="center"/>
        <w:ind w:start="360"/>
        <w:spacing w:before="300" w:after="300"/>
      </w:pPr>
      <w:r>
        <w:rPr>
          <w:b/>
        </w:rPr>
        <w:t xml:space="preserve">ADMINISTRATION OF IMPOSED SENTENCES OF IMPRISONMENT</w:t>
      </w:r>
    </w:p>
    <w:p>
      <w:pPr>
        <w:jc w:val="center"/>
        <w:ind w:start="360"/>
        <w:spacing w:before="300" w:after="300"/>
      </w:pPr>
      <w:r>
        <w:rPr>
          <w:b/>
        </w:rPr>
        <w:t>CHAPTER</w:t>
        <w:t xml:space="preserve"> </w:t>
        <w:t>81</w:t>
      </w:r>
    </w:p>
    <w:p>
      <w:pPr>
        <w:jc w:val="center"/>
        <w:ind w:start="360"/>
        <w:spacing w:before="300" w:after="300"/>
      </w:pPr>
      <w:r>
        <w:rPr>
          <w:b/>
        </w:rPr>
        <w:t xml:space="preserve">ADMINISTRATION OF IMPOSED SENTENCES OF IMPRISONMENT</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17-A.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17-A.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