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2013</w:t>
        <w:t xml:space="preserve">.  </w:t>
      </w:r>
      <w:r>
        <w:rPr>
          <w:b/>
        </w:rPr>
        <w:t xml:space="preserve">Post-conviction relief</w:t>
      </w:r>
    </w:p>
    <w:p>
      <w:pPr>
        <w:jc w:val="both"/>
        <w:spacing w:before="100" w:after="100"/>
        <w:ind w:start="360"/>
        <w:ind w:firstLine="360"/>
      </w:pPr>
      <w:r>
        <w:rPr/>
      </w:r>
      <w:r>
        <w:rPr/>
      </w:r>
      <w:r>
        <w:t xml:space="preserve">If, in any judicial proceeding following conviction, a court issues a final judgment invalidating the conviction, the judgment may include an order that any or all of a restitution payment that the convicted person paid pursuant to the sentence for that conviction be returned to the convicted person.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§2013. Post-conviction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§2013. Post-conviction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§2013. POST-CONVICTION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