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2019</w:t>
        <w:t xml:space="preserve">.  </w:t>
      </w:r>
      <w:r>
        <w:rPr>
          <w:b/>
        </w:rPr>
        <w:t xml:space="preserve">Civil remedy upon default</w:t>
      </w:r>
    </w:p>
    <w:p>
      <w:pPr>
        <w:jc w:val="both"/>
        <w:spacing w:before="100" w:after="100"/>
        <w:ind w:start="360"/>
        <w:ind w:firstLine="360"/>
      </w:pPr>
      <w:r>
        <w:rPr/>
      </w:r>
      <w:r>
        <w:rPr/>
      </w:r>
      <w:r>
        <w:t xml:space="preserve">Upon the request of the attorney for the State or a person entitled to restitution under an order of restitution, the clerk shall enter the order of restitution in the same manner as a judgment in a civil action.  When entered under this section, the order of restitution is deemed to be a money judgment.  Upon default, the order to make restitution is enforceable in accordance with </w:t>
      </w:r>
      <w:r>
        <w:t>Title 14, chapter 502</w:t>
      </w:r>
      <w:r>
        <w:t xml:space="preserve"> by any person entitled to restitution under the order.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§2019. Civil remedy upon default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§2019. Civil remedy upon default</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§2019. CIVIL REMEDY UPON DEFAULT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