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Theft by deception</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property of another as a result of deception and with intent to deprive the other person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§34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§11 (AMD).]</w:t>
      </w:r>
    </w:p>
    <w:p>
      <w:pPr>
        <w:jc w:val="both"/>
        <w:spacing w:before="100" w:after="100"/>
        <w:ind w:start="360"/>
        <w:ind w:firstLine="360"/>
      </w:pPr>
      <w:r>
        <w:rPr>
          <w:b/>
        </w:rPr>
        <w:t>2</w:t>
        <w:t xml:space="preserve">.  </w:t>
      </w:r>
      <w:r>
        <w:rPr>
          <w:b/>
        </w:rPr>
      </w:r>
      <w:r>
        <w:t xml:space="preserve"> </w:t>
      </w:r>
      <w:r>
        <w:t xml:space="preserve">For purposes of this section, deception occurs when a person intentionally:</w:t>
      </w:r>
    </w:p>
    <w:p>
      <w:pPr>
        <w:jc w:val="both"/>
        <w:spacing w:before="100" w:after="0"/>
        <w:ind w:start="720"/>
      </w:pPr>
      <w:r>
        <w:rPr/>
        <w:t>A</w:t>
        <w:t xml:space="preserve">.  </w:t>
      </w:r>
      <w:r>
        <w:rPr/>
      </w:r>
      <w:r>
        <w:t xml:space="preserve">Creates or reinforces an impression that is false and that the person does not believe to be true, including false impressions that the person is a veteran or a member of the Armed Forces of the United States or a state military force and false impressions as to identity, law, value, knowledge, opinion, intention or other state of mind; except that an intention not to perform a promise, or knowledge that a promise will not be performed, may not be inferred from the fact alone that the promise was not performed;</w:t>
      </w:r>
      <w:r>
        <w:t xml:space="preserve">  </w:t>
      </w:r>
      <w:r xmlns:wp="http://schemas.openxmlformats.org/drawingml/2010/wordprocessingDrawing" xmlns:w15="http://schemas.microsoft.com/office/word/2012/wordml">
        <w:rPr>
          <w:rFonts w:ascii="Arial" w:hAnsi="Arial" w:cs="Arial"/>
          <w:sz w:val="22"/>
          <w:szCs w:val="22"/>
        </w:rPr>
        <w:t xml:space="preserve">[PL 2015, c. 437, §1 (AMD).]</w:t>
      </w:r>
    </w:p>
    <w:p>
      <w:pPr>
        <w:jc w:val="both"/>
        <w:spacing w:before="100" w:after="0"/>
        <w:ind w:start="720"/>
      </w:pPr>
      <w:r>
        <w:rPr/>
        <w:t>B</w:t>
        <w:t xml:space="preserve">.  </w:t>
      </w:r>
      <w:r>
        <w:rPr/>
      </w:r>
      <w:r>
        <w:t xml:space="preserve">Fails to correct an impression that is false and that the person does not believe to be true and that:</w:t>
      </w:r>
    </w:p>
    <w:p>
      <w:pPr>
        <w:jc w:val="both"/>
        <w:spacing w:before="100" w:after="0"/>
        <w:ind w:start="1080"/>
      </w:pPr>
      <w:r>
        <w:rPr/>
        <w:t>(</w:t>
        <w:t>1</w:t>
        <w:t xml:space="preserve">)  </w:t>
      </w:r>
      <w:r>
        <w:rPr/>
      </w:r>
      <w:r>
        <w:t xml:space="preserve">The person had previously created or reinforced; or</w:t>
      </w:r>
    </w:p>
    <w:p>
      <w:pPr>
        <w:jc w:val="both"/>
        <w:spacing w:before="100" w:after="0"/>
        <w:ind w:start="1080"/>
      </w:pPr>
      <w:r>
        <w:rPr/>
        <w:t>(</w:t>
        <w:t>2</w:t>
        <w:t xml:space="preserve">)  </w:t>
      </w:r>
      <w:r>
        <w:rPr/>
      </w:r>
      <w:r>
        <w:t xml:space="preserve">The person knows to be influencing another whose property is involved and to whom the person stands in a fiduciary or confidential relationship;</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w:pPr>
        <w:jc w:val="both"/>
        <w:spacing w:before="100" w:after="0"/>
        <w:ind w:start="720"/>
      </w:pPr>
      <w:r>
        <w:rPr/>
        <w:t>C</w:t>
        <w:t xml:space="preserve">.  </w:t>
      </w:r>
      <w:r>
        <w:rPr/>
      </w:r>
      <w:r>
        <w:t xml:space="preserve">Prevents another from acquiring information that is relevant to the disposition of the property involved; or</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w:pPr>
        <w:jc w:val="both"/>
        <w:spacing w:before="100" w:after="0"/>
        <w:ind w:start="720"/>
      </w:pPr>
      <w:r>
        <w:rPr/>
        <w:t>D</w:t>
        <w:t xml:space="preserve">.  </w:t>
      </w:r>
      <w:r>
        <w:rPr/>
      </w:r>
      <w:r>
        <w:t xml:space="preserve">Fails to disclose a known lien, adverse claim or other legal impediment to the enjoyment of property that the person transfers or encumbers in consideration for the property obtained, whether such impediment is or is not valid, or is or is not a matter of official record.</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437, §1 (AMD).]</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deception related to a matter that was of no pecuniary significance or that the person deceived acted unreasonably in relying on the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§34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§47 (AMD). PL 1999, c. 455, §1 (AMD). PL 2001, c. 383, §34 (RPR). PL 2001, c. 383, §156 (AFF). PL 2001, c. 667, §D4 (AMD). PL 2001, c. 667, §D36 (AFF). PL 2007, c. 476, §11 (AMD). PL 2015, c. 21, §1 (AMD). PL 2015, c. 437,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§354. Theft by deception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Theft by deception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§354. THEFT BY DECEPTION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