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132</w:t>
      </w:r>
    </w:p>
    <w:p>
      <w:pPr>
        <w:jc w:val="center"/>
        <w:ind w:start="360"/>
        <w:spacing w:before="300" w:after="300"/>
      </w:pPr>
      <w:r>
        <w:rPr>
          <w:b/>
        </w:rPr>
        <w:t xml:space="preserve">DEFINITIONS</w:t>
      </w:r>
    </w:p>
    <w:p>
      <w:pPr>
        <w:jc w:val="center"/>
        <w:ind w:start="360"/>
        <w:spacing w:before="300" w:after="300"/>
      </w:pPr>
      <w:r>
        <w:rPr>
          <w:b/>
        </w:rPr>
        <w:t>(REPEALED)</w:t>
      </w:r>
    </w:p>
    <w:p>
      <w:pPr>
        <w:jc w:val="both"/>
        <w:spacing w:before="100" w:after="100"/>
        <w:ind w:start="1080" w:hanging="720"/>
      </w:pPr>
      <w:r>
        <w:rPr>
          <w:b/>
        </w:rPr>
        <w:t>§</w:t>
        <w:t>4001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539, §21 (NEW). PL 1971, c. 622, §§61-A (AMD). PL 1975, c. 499,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132.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132.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Chapter 132.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