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2119</w:t>
        <w:t xml:space="preserve">.  </w:t>
      </w:r>
      <w:r>
        <w:rPr>
          <w:b/>
        </w:rPr>
        <w:t xml:space="preserve">Effective date</w:t>
      </w:r>
    </w:p>
    <w:p>
      <w:pPr>
        <w:jc w:val="both"/>
        <w:spacing w:before="100" w:after="100"/>
        <w:ind w:start="360"/>
        <w:ind w:firstLine="360"/>
      </w:pPr>
      <w:r>
        <w:rPr/>
      </w:r>
      <w:r>
        <w:rPr/>
      </w:r>
      <w:r>
        <w:t xml:space="preserve">This Act takes effect January 1, 2020.</w:t>
      </w:r>
      <w:r>
        <w:t xml:space="preserve">  </w:t>
      </w:r>
      <w:r xmlns:wp="http://schemas.openxmlformats.org/drawingml/2010/wordprocessingDrawing" xmlns:w15="http://schemas.microsoft.com/office/word/2012/wordml">
        <w:rPr>
          <w:rFonts w:ascii="Arial" w:hAnsi="Arial" w:cs="Arial"/>
          <w:sz w:val="22"/>
          <w:szCs w:val="22"/>
        </w:rPr>
        <w:t xml:space="preserve">[PL 2019, c. 301,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301,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§2119. Effective date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§2119. Effective date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§2119. EFFECTIVE DATE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