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Rights of beneficiary's creditor or assignee</w:t>
      </w:r>
    </w:p>
    <w:p>
      <w:pPr>
        <w:jc w:val="both"/>
        <w:spacing w:before="100" w:after="100"/>
        <w:ind w:start="360"/>
        <w:ind w:firstLine="360"/>
      </w:pPr>
      <w:r>
        <w:rPr/>
      </w:r>
      <w:r>
        <w:rPr/>
      </w:r>
      <w:r>
        <w:t xml:space="preserve">To the extent a beneficiary's interest is not protected by a spendthrift provision, the court may authorize a creditor or assignee of the beneficiary to reach the beneficiary's interest by attachment of present or future distributions to the beneficiary. The court may limit the award to such relief as is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184,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Rights of beneficiary's creditor or assignee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Rights of beneficiary's creditor or assignee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§501. RIGHTS OF BENEFICIARY'S CREDITOR OR ASSIGNEE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