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1-107</w:t>
        <w:t xml:space="preserve">.  </w:t>
      </w:r>
      <w:r>
        <w:rPr>
          <w:b/>
        </w:rPr>
        <w:t xml:space="preserve">Acts by holder of general power</w:t>
      </w:r>
    </w:p>
    <w:p>
      <w:pPr>
        <w:jc w:val="both"/>
        <w:spacing w:before="100" w:after="100"/>
        <w:ind w:start="360"/>
        <w:ind w:firstLine="360"/>
      </w:pPr>
      <w:r>
        <w:rPr/>
      </w:r>
      <w:r>
        <w:rPr/>
      </w:r>
      <w:r>
        <w:t xml:space="preserve">For the purpose of granting consent or approval with regard to the acts or accounts of a personal representative or trustee, including relief from liability or penalty for failure to post bond or to perform other duties, and for purposes of consenting to modification or termination of a trust or to deviation from its terms, the sole holder or all co-holders of a presently exercisable general power of appointment, including one in the form of a power of amendment or revocation, are deemed to act for beneficiaries to the extent their interests, as objects, takers in default or otherwise, are subject to the power.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§1-107. Acts by holder of general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§1-107. Acts by holder of general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§1-107. ACTS BY HOLDER OF GENERAL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