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5-922</w:t>
        <w:t xml:space="preserve">.  </w:t>
      </w:r>
      <w:r>
        <w:rPr>
          <w:b/>
        </w:rPr>
        <w:t xml:space="preserve">Laws applicable to financial institutions and entities</w:t>
      </w:r>
    </w:p>
    <w:p>
      <w:pPr>
        <w:jc w:val="both"/>
        <w:spacing w:before="100" w:after="100"/>
        <w:ind w:start="360"/>
        <w:ind w:firstLine="360"/>
      </w:pPr>
      <w:r>
        <w:rPr/>
      </w:r>
      <w:r>
        <w:rPr/>
      </w:r>
      <w:r>
        <w:t xml:space="preserve">This Part does not supersede any other law applicable to financial institutions or other entities, and the other law controls if inconsistent with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§5-922. Laws applicable to financial institutions and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§5-922. Laws applicable to financial institutions and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§5-922. LAWS APPLICABLE TO FINANCIAL INSTITUTIONS AND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