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61. MAINE PARENTAGE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