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w:t>
        <w:t xml:space="preserve">.  </w:t>
      </w:r>
      <w:r>
        <w:rPr>
          <w:b/>
        </w:rPr>
        <w:t xml:space="preserve">Limitation on recovery from father</w:t>
      </w:r>
    </w:p>
    <w:p>
      <w:pPr>
        <w:jc w:val="both"/>
        <w:spacing w:before="100" w:after="100"/>
        <w:ind w:start="360"/>
        <w:ind w:firstLine="360"/>
      </w:pPr>
      <w:r>
        <w:rPr/>
      </w:r>
      <w:r>
        <w:rPr/>
      </w:r>
      <w:r>
        <w:t xml:space="preserve">An alleged father's liability for past expenses incurred is limited to the 6 years preceding service of the notice under </w:t>
      </w:r>
      <w:r>
        <w:t>section 1605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 Limitation on recovery from father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 Limitation on recovery from father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§1603. LIMITATION ON RECOVERY FROM FATHER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