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Acknowledgment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Acknowledgment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§1861. ACKNOWLEDGMENT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