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1909</w:t>
        <w:t xml:space="preserve">.  </w:t>
      </w:r>
      <w:r>
        <w:rPr>
          <w:b/>
        </w:rPr>
        <w:t xml:space="preserve">Identical sibling</w:t>
      </w:r>
    </w:p>
    <w:p>
      <w:pPr>
        <w:jc w:val="both"/>
        <w:spacing w:before="100" w:after="0"/>
        <w:ind w:start="360"/>
        <w:ind w:firstLine="360"/>
      </w:pPr>
      <w:r>
        <w:rPr>
          <w:b/>
        </w:rPr>
        <w:t>1</w:t>
        <w:t xml:space="preserve">.  </w:t>
      </w:r>
      <w:r>
        <w:rPr>
          <w:b/>
        </w:rPr>
        <w:t xml:space="preserve">Genetic testing of sibling.</w:t>
        <w:t xml:space="preserve"> </w:t>
      </w:r>
      <w:r>
        <w:t xml:space="preserve"> </w:t>
      </w:r>
      <w:r>
        <w:t xml:space="preserve">The court may order genetic testing of a sibling of a person if the person is commonly believed to have an identical sibling and evidence suggests that the sibling may be the genetic father or genetic mother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Nongenetic evidence.</w:t>
        <w:t xml:space="preserve"> </w:t>
      </w:r>
      <w:r>
        <w:t xml:space="preserve"> </w:t>
      </w:r>
      <w:r>
        <w:t xml:space="preserve">If a person and a sibling of the person tested pursuant to </w:t>
      </w:r>
      <w:r>
        <w:t>subsection 1</w:t>
      </w:r>
      <w:r>
        <w:t xml:space="preserve"> satisfy the requirements as the identified genetic father or genetic mother of the child under </w:t>
      </w:r>
      <w:r>
        <w:t>section 1904</w:t>
      </w:r>
      <w:r>
        <w:t xml:space="preserve"> without consideration of another identical sibling being identified as the genetic father or genetic mother of the child, the court may rely on nongenetic evidence to adjudicate parentage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§1909. Identical sibling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§1909. Identical sibling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§1909. IDENTICAL SIBLING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