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Rebuttable presumption</w:t>
      </w:r>
    </w:p>
    <w:p>
      <w:pPr>
        <w:jc w:val="both"/>
        <w:spacing w:before="100" w:after="100"/>
        <w:ind w:start="360"/>
        <w:ind w:firstLine="360"/>
      </w:pPr>
      <w:r>
        <w:rPr/>
      </w:r>
      <w:r>
        <w:rPr/>
      </w:r>
      <w:r>
        <w:t xml:space="preserve">In a proceeding to establish or modify child support or to establish an award for past support, there is a rebuttable presumption that the parental support obligation derived from the support guidelines is the amount ordered to be paid, unless support is established under </w:t>
      </w:r>
      <w:r>
        <w:t>section 2006, subsection 5</w:t>
      </w:r>
      <w:r>
        <w:t xml:space="preserve"> or </w:t>
      </w:r>
      <w:r>
        <w:t>section 2007</w:t>
      </w:r>
      <w:r>
        <w:t xml:space="preserve">.  The court or hearing officer shall review the adequacy of a child support amount agreed to by the parties with reference to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2003, c. 415,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Rebuttable presumption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§2005. REBUTTABLE PRESUMPTION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