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Enforcement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Enforcement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§2102. ENFORCEMENT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