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2665</w:t>
        <w:t xml:space="preserve">.  </w:t>
      </w:r>
      <w:r>
        <w:rPr>
          <w:b/>
        </w:rPr>
        <w:t xml:space="preserve">Application for services</w:t>
      </w:r>
    </w:p>
    <w:p>
      <w:pPr>
        <w:jc w:val="both"/>
        <w:spacing w:before="100" w:after="100"/>
        <w:ind w:start="360"/>
        <w:ind w:firstLine="360"/>
      </w:pPr>
      <w:r>
        <w:rPr/>
      </w:r>
      <w:r>
        <w:rPr/>
      </w:r>
      <w:r>
        <w:t xml:space="preserve">The department shall furnish and the clerk of the court shall make available to all individuals awarded child support application forms and blank contracts for the department's support enforcement services.  The department shall also furnish the clerk with forms that enable an individual to refuse services.  The clerk shall send to the department all application forms, contracts and refusal forms submitted together with the attested copies of the orders that the clerk is required to send the department under </w:t>
      </w:r>
      <w:r>
        <w:t>section 2664</w:t>
      </w:r>
      <w:r>
        <w:t xml:space="preserve">.  Each individual who is awarded child support by the court must complete either the application form and contract or the form for refusal of services.  The court shall inform a person who is awarded child support that that person must complete either the application and contract for services or the form to refuse services and submit them to the clerk.</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§2665. Application for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§2665. Application for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§2665. APPLICATION FOR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