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2668</w:t>
        <w:t xml:space="preserve">.  </w:t>
      </w:r>
      <w:r>
        <w:rPr>
          <w:b/>
        </w:rPr>
        <w:t xml:space="preserve">Other remedies</w:t>
      </w:r>
    </w:p>
    <w:p>
      <w:pPr>
        <w:jc w:val="both"/>
        <w:spacing w:before="100" w:after="100"/>
        <w:ind w:start="360"/>
        <w:ind w:firstLine="360"/>
      </w:pPr>
      <w:r>
        <w:rPr/>
      </w:r>
      <w:r>
        <w:rPr/>
      </w:r>
      <w:r>
        <w:t xml:space="preserve">Income withholding  ordered under this subchapter is an additional remedy to enforce a support order and does not limit the use of other legal remedies that may be available for collection of child and spousal support.</w:t>
      </w:r>
      <w:r>
        <w:t xml:space="preserve">  </w:t>
      </w:r>
      <w:r xmlns:wp="http://schemas.openxmlformats.org/drawingml/2010/wordprocessingDrawing" xmlns:w15="http://schemas.microsoft.com/office/word/2012/wordml">
        <w:rPr>
          <w:rFonts w:ascii="Arial" w:hAnsi="Arial" w:cs="Arial"/>
          <w:sz w:val="22"/>
          <w:szCs w:val="22"/>
        </w:rPr>
        <w:t xml:space="preserve">[PL 2011, c. 528,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2011, c. 528,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§2668. Other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§2668. Other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§2668. OTHER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