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Other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Other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§4105. OTHER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