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INCOME WITHHOLDING</w:t>
      </w:r>
    </w:p>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780-A</w:t>
        <w:t xml:space="preserve">.  </w:t>
      </w:r>
      <w:r>
        <w:rPr>
          <w:b/>
        </w:rPr>
        <w:t xml:space="preserve">Provisions of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419, §27 (AMD). PL 1995, c. 694, §B1 (RP). PL 1995, c. 694, §E2 (AFF). </w:t>
      </w:r>
    </w:p>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780-E</w:t>
        <w:t xml:space="preserve">.  </w:t>
      </w:r>
      <w:r>
        <w:rPr>
          <w:b/>
        </w:rPr>
        <w:t xml:space="preserve">Past-due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780-G</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780-H</w:t>
        <w:t xml:space="preserve">.  </w:t>
      </w:r>
      <w:r>
        <w:rPr>
          <w:b/>
        </w:rPr>
        <w:t xml:space="preserve">Duration of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780-O</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780-P</w:t>
        <w:t xml:space="preserve">.  </w:t>
      </w:r>
      <w:r>
        <w:rPr>
          <w:b/>
        </w:rPr>
        <w:t xml:space="preserve">Payor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780-Q</w:t>
        <w:t xml:space="preserve">.  </w:t>
      </w:r>
      <w:r>
        <w:rPr>
          <w:b/>
        </w:rPr>
        <w:t xml:space="preserve">Other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780-R</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14-B.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14-B.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