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UNIFORM CHILD CUSTODY JURISDICTION ACT</w:t>
      </w:r>
    </w:p>
    <w:p>
      <w:pPr>
        <w:jc w:val="both"/>
        <w:spacing w:before="100" w:after="100"/>
        <w:ind w:start="1080" w:hanging="720"/>
      </w:pPr>
      <w:r>
        <w:rPr>
          <w:b/>
        </w:rPr>
        <w:t>§</w:t>
        <w:t>801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802</w:t>
        <w:t xml:space="preserve">.  </w:t>
      </w:r>
      <w:r>
        <w:rPr>
          <w:b/>
        </w:rPr>
        <w:t xml:space="preserve">Purposes of Act;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jc w:val="both"/>
        <w:spacing w:before="100" w:after="100"/>
        <w:ind w:start="1080" w:hanging="720"/>
      </w:pPr>
      <w:r>
        <w:rPr>
          <w:b/>
        </w:rPr>
        <w:t>§</w:t>
        <w:t>825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16.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