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INFANTS AND CHILDREN, AGES 0 TO 5, WITH DISABILITIES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PRESCHOOL COORDINATION PROJECTS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jc w:val="center"/>
        <w:ind w:start="360"/>
        <w:spacing w:before="300" w:after="300"/>
      </w:pPr>
      <w:r>
        <w:rPr>
          <w:b/>
        </w:rPr>
        <w:t>SUBCHAPTER</w:t>
        <w:t xml:space="preserve"> </w:t>
        <w:t>2</w:t>
      </w:r>
    </w:p>
    <w:p>
      <w:pPr>
        <w:jc w:val="center"/>
        <w:ind w:start="360"/>
        <w:spacing w:before="300" w:after="300"/>
      </w:pPr>
      <w:r>
        <w:rPr>
          <w:b/>
        </w:rPr>
        <w:t xml:space="preserve">ADDITIONAL PROGRAMS</w:t>
      </w:r>
    </w:p>
    <w:p>
      <w:pPr>
        <w:jc w:val="center"/>
        <w:ind w:start="360"/>
        <w:spacing w:before="300" w:after="300"/>
      </w:pPr>
      <w:r>
        <w:rPr>
          <w:b/>
        </w:rPr>
        <w:t>(REPEALED)</w:t>
      </w:r>
    </w:p>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INFANTS AND CHILDREN, AGES 0 TO 5,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INFANTS AND CHILDREN, AGES 0 TO 5,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307. INFANTS AND CHILDREN, AGES 0 TO 5,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