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w:t>
      </w:r>
    </w:p>
    <w:p>
      <w:pPr>
        <w:jc w:val="center"/>
        <w:ind w:start="360"/>
        <w:spacing w:before="300" w:after="300"/>
      </w:pPr>
      <w:r>
        <w:rPr>
          <w:b/>
        </w:rPr>
        <w:t xml:space="preserve">MEDICAL EDUCATION AND RECRUITMENT</w:t>
      </w:r>
    </w:p>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2023, c. 607,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PL 2023, c. 607, §13 (AMD). </w:t>
      </w:r>
    </w:p>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jc w:val="both"/>
        <w:spacing w:before="100" w:after="100"/>
        <w:ind w:start="1080" w:hanging="720"/>
      </w:pPr>
      <w:r>
        <w:rPr>
          <w:b/>
        </w:rPr>
        <w:t>§</w:t>
        <w:t>12106</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PL 2023, c. 607, §14 (RP). </w:t>
      </w:r>
    </w:p>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424. MEDICAL EDUCATION AND RECRUITMENT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 MEDICAL EDUCATION AND RECRUITMENT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424. MEDICAL EDUCATION AND RECRUITMENT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