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Prohibition of Native American mascots</w:t>
      </w:r>
    </w:p>
    <w:p>
      <w:pPr>
        <w:jc w:val="both"/>
        <w:spacing w:before="100" w:after="100"/>
        <w:ind w:start="360"/>
        <w:ind w:firstLine="360"/>
      </w:pPr>
      <w:r>
        <w:rPr/>
      </w:r>
      <w:r>
        <w:rPr/>
      </w:r>
      <w:r>
        <w:t xml:space="preserve">A public school, the University of Maine System or any college within the University of Maine System, the Maine Community College System or any college within the Maine Community College System or the Maine Maritime Academy may not have or adopt a name, symbol or image that depicts or refers to a Native American tribe, individual, custom or tradition and that is used as a mascot, nickname, logo, letterhead or team name of the school.</w:t>
      </w:r>
      <w:r>
        <w:t xml:space="preserve">  </w:t>
      </w:r>
      <w:r xmlns:wp="http://schemas.openxmlformats.org/drawingml/2010/wordprocessingDrawing" xmlns:w15="http://schemas.microsoft.com/office/word/2012/wordml">
        <w:rPr>
          <w:rFonts w:ascii="Arial" w:hAnsi="Arial" w:cs="Arial"/>
          <w:sz w:val="22"/>
          <w:szCs w:val="22"/>
        </w:rPr>
        <w:t xml:space="preserve">[PL 2019, c. 123,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Prohibition of Native American mascots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Prohibition of Native American mascots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 PROHIBITION OF NATIVE AMERICAN MASCOTS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