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0"/>
        <w:ind w:start="360"/>
        <w:ind w:firstLine="360"/>
      </w:pPr>
      <w:r>
        <w:rPr>
          <w:b/>
        </w:rPr>
        <w:t>2</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100"/>
        <w:ind w:start="360"/>
        <w:ind w:firstLine="360"/>
      </w:pPr>
      <w:r>
        <w:rPr>
          <w:b/>
        </w:rPr>
        <w:t>3</w:t>
        <w:t xml:space="preserve">.  </w:t>
      </w:r>
      <w:r>
        <w:rPr>
          <w:b/>
        </w:rPr>
        <w:t xml:space="preserve">Maine resident.</w:t>
        <w:t xml:space="preserve"> </w:t>
      </w:r>
      <w:r>
        <w:t xml:space="preserve"> </w:t>
      </w:r>
      <w:r>
        <w:t xml:space="preserve">"Maine resident" means a person who has been a resident of the State for a minimum of 2 years at the time of the person's entry to dental school for purposes other than education, as determined by rule of the authority.  In determining residency, the authority shall consider:</w:t>
      </w:r>
    </w:p>
    <w:p>
      <w:pPr>
        <w:jc w:val="both"/>
        <w:spacing w:before="100" w:after="0"/>
        <w:ind w:start="720"/>
      </w:pPr>
      <w:r>
        <w:rPr/>
        <w:t>A</w:t>
        <w:t xml:space="preserve">.  </w:t>
      </w:r>
      <w:r>
        <w:rPr/>
      </w:r>
      <w:r>
        <w:t xml:space="preserve">Length of residence in the State for other than tuition purposes;</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B</w:t>
        <w:t xml:space="preserve">.  </w:t>
      </w:r>
      <w:r>
        <w:rPr/>
      </w:r>
      <w:r>
        <w:t xml:space="preserve">Secondary school attended;</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C</w:t>
        <w:t xml:space="preserve">.  </w:t>
      </w:r>
      <w:r>
        <w:rPr/>
      </w:r>
      <w:r>
        <w:t xml:space="preserve">Legal residence of parents;</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D</w:t>
        <w:t xml:space="preserve">.  </w:t>
      </w:r>
      <w:r>
        <w:rPr/>
      </w:r>
      <w:r>
        <w:t xml:space="preserve">Place of voting registration, if registered to vote;</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E</w:t>
        <w:t xml:space="preserve">.  </w:t>
      </w:r>
      <w:r>
        <w:rPr/>
      </w:r>
      <w:r>
        <w:t xml:space="preserve">Place where taxes are paid; and</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F</w:t>
        <w:t xml:space="preserve">.  </w:t>
      </w:r>
      <w:r>
        <w:rPr/>
      </w:r>
      <w:r>
        <w:t xml:space="preserve">Other indicators established by the authority.</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0"/>
        <w:ind w:start="360"/>
        <w:ind w:firstLine="360"/>
      </w:pPr>
      <w:r>
        <w:rPr>
          <w:b/>
        </w:rPr>
        <w:t>4</w:t>
        <w:t xml:space="preserve">.  </w:t>
      </w:r>
      <w:r>
        <w:rPr>
          <w:b/>
        </w:rPr>
        <w:t xml:space="preserve">Underserved population area.</w:t>
        <w:t xml:space="preserve"> </w:t>
      </w:r>
      <w:r>
        <w:t xml:space="preserve"> </w:t>
      </w:r>
      <w:r>
        <w:t xml:space="preserve">"Underserved population area" means an area in the State that is a dental health professional shortage area or medically underserved area or that contains a medically underserved population as defined by the federal Department of Health and Human Services, Health Resources and Services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§NN2 (NEW). PL 1999, c. 401, §NN4 (AFF). PL 1999, c. 496, §2 (NEW). PL 2001, c. 471, §B11 (AMD). PL 2003, c. 689, §§B6,7 (REV). PL 2019, c. 102,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