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12902</w:t>
        <w:t xml:space="preserve">.  </w:t>
      </w:r>
      <w:r>
        <w:rPr>
          <w:b/>
        </w:rPr>
        <w:t xml:space="preserve">Educational outcome database</w:t>
      </w:r>
    </w:p>
    <w:p>
      <w:pPr>
        <w:jc w:val="both"/>
        <w:spacing w:before="100" w:after="100"/>
        <w:ind w:start="360"/>
        <w:ind w:firstLine="360"/>
      </w:pPr>
      <w:r>
        <w:rPr/>
      </w:r>
      <w:r>
        <w:rPr/>
      </w:r>
      <w:r>
        <w:t xml:space="preserve">No later than January 1, 2022, and biennially thereafter, the Department of Labor, in consultation with the Department of Education and the task force, shall update the database.</w:t>
      </w:r>
      <w:r>
        <w:t xml:space="preserve">  </w:t>
      </w:r>
      <w:r xmlns:wp="http://schemas.openxmlformats.org/drawingml/2010/wordprocessingDrawing" xmlns:w15="http://schemas.microsoft.com/office/word/2012/wordml">
        <w:rPr>
          <w:rFonts w:ascii="Arial" w:hAnsi="Arial" w:cs="Arial"/>
          <w:sz w:val="22"/>
          <w:szCs w:val="22"/>
        </w:rPr>
        <w:t xml:space="preserve">[PL 2021, c. 243,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243,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§12902. Educational outcome database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§12902. Educational outcome database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§12902. EDUCATIONAL OUTCOME DATABASE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