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 Regional school unit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Regional school unit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§1483. REGIONAL SCHOOL UNIT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