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1751-A</w:t>
        <w:t xml:space="preserve">.  </w:t>
      </w:r>
      <w:r>
        <w:rPr>
          <w:b/>
        </w:rPr>
        <w:t xml:space="preserve">Withdrawal from community school district</w:t>
      </w:r>
    </w:p>
    <w:p>
      <w:pPr>
        <w:jc w:val="both"/>
        <w:spacing w:before="100" w:after="100"/>
        <w:ind w:start="360"/>
        <w:ind w:firstLine="360"/>
      </w:pPr>
      <w:r>
        <w:rPr/>
      </w:r>
      <w:r>
        <w:rPr/>
      </w:r>
      <w:r>
        <w:t xml:space="preserve">The residents of a participating municipality within a community school district may petition and vote to withdraw from the district in the same manner as a participating municipality within a regional school unit may petition to withdraw in accordance with </w:t>
      </w:r>
      <w:r>
        <w:t>section 1466</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2025, c. 112, §4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2025, c. 112, §4 (NEW).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§1751-A. Withdrawal from community school district</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§1751-A. Withdrawal from community school district</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20-A, §1751-A. WITHDRAWAL FROM COMMUNITY SCHOOL DISTRICT</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