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Authority to contract for school privileges</w:t>
      </w:r>
    </w:p>
    <w:p>
      <w:pPr>
        <w:jc w:val="both"/>
        <w:spacing w:before="100" w:after="100"/>
        <w:ind w:start="360"/>
        <w:ind w:firstLine="360"/>
      </w:pPr>
      <w:r>
        <w:rPr/>
      </w:r>
      <w:r>
        <w:rPr/>
      </w:r>
      <w:r>
        <w:t xml:space="preserve">The legislative body of a school administrative unit other than a school administrative district, which does not maintain any of the grades from kindergarten to grade 12, may authorize its school board to contract with another school for school privileges for all or a part of its resident students in those grades for a term of 2 to 10 years.</w:t>
      </w:r>
      <w:r>
        <w:t xml:space="preserve">  </w:t>
      </w:r>
      <w:r xmlns:wp="http://schemas.openxmlformats.org/drawingml/2010/wordprocessingDrawing" xmlns:w15="http://schemas.microsoft.com/office/word/2012/wordml">
        <w:rPr>
          <w:rFonts w:ascii="Arial" w:hAnsi="Arial" w:cs="Arial"/>
          <w:sz w:val="22"/>
          <w:szCs w:val="22"/>
        </w:rPr>
        <w:t xml:space="preserve">[PL 1985, c. 797,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Authority to contract for school privileges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Authority to contract for school privileges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§2701. AUTHORITY TO CONTRACT FOR SCHOOL PRIVILEGES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