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w:t>
        <w:t xml:space="preserve">.  </w:t>
      </w:r>
      <w:r>
        <w:rPr>
          <w:b/>
        </w:rPr>
        <w:t xml:space="preserve">Career and technical education</w:t>
      </w:r>
    </w:p>
    <w:p>
      <w:pPr>
        <w:jc w:val="both"/>
        <w:spacing w:before="100" w:after="100"/>
        <w:ind w:start="360"/>
        <w:ind w:firstLine="360"/>
      </w:pPr>
      <w:r>
        <w:rPr/>
      </w:r>
      <w:r>
        <w:rPr/>
      </w:r>
      <w:r>
        <w:t xml:space="preserve">The commissioner may contract with a private school, which is serving one or more municipalities in lieu of a public secondary school, for the conduct of career and technical education courses that meet the same standards for approval as those conducted in public secondary schools.</w:t>
      </w:r>
      <w:r>
        <w:t xml:space="preserve">  </w:t>
      </w:r>
      <w:r xmlns:wp="http://schemas.openxmlformats.org/drawingml/2010/wordprocessingDrawing" xmlns:w15="http://schemas.microsoft.com/office/word/2012/wordml">
        <w:rPr>
          <w:rFonts w:ascii="Arial" w:hAnsi="Arial" w:cs="Arial"/>
          <w:sz w:val="22"/>
          <w:szCs w:val="22"/>
        </w:rPr>
        <w:t xml:space="preserve">[PL 2011, c. 679,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2005, c. 397, §D3 (REV). PL 2011, c. 679,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 Career and technical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 Career and technical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§3002. CAREER AND TECHNICAL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