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4515</w:t>
        <w:t xml:space="preserve">.  </w:t>
      </w:r>
      <w:r>
        <w:rPr>
          <w:b/>
        </w:rPr>
        <w:t xml:space="preserve">Accreditation; evaluation and recommendation</w:t>
      </w:r>
    </w:p>
    <w:p>
      <w:pPr>
        <w:jc w:val="both"/>
        <w:spacing w:before="100" w:after="100"/>
        <w:ind w:start="360"/>
        <w:ind w:firstLine="360"/>
      </w:pPr>
      <w:r>
        <w:rPr/>
      </w:r>
      <w:r>
        <w:rPr/>
      </w:r>
      <w:r>
        <w:t xml:space="preserve">The commissioner shall confer accreditation to those schools which meet established accreditation standards in accordance with the procedures established by rule.</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w:pPr>
        <w:jc w:val="both"/>
        <w:spacing w:before="100" w:after="100"/>
        <w:ind w:start="360"/>
        <w:ind w:firstLine="360"/>
      </w:pPr>
      <w:r>
        <w:rPr/>
      </w:r>
      <w:r>
        <w:rPr/>
      </w:r>
      <w:r>
        <w:t xml:space="preserve">A school may not be accredited until it has been evaluated and recommended for accreditation by an advisory committee of qualified personnel, including persons from outside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§4515. Accreditation; evaluation and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§4515. Accreditation; evaluation and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§4515. ACCREDITATION; EVALUATION AND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