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§5805. Secondary school students;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§5805. Secondary school students;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§5805. SECONDARY SCHOOL STUDENTS;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