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6621</w:t>
        <w:t xml:space="preserve">.  </w:t>
      </w:r>
      <w:r>
        <w:rPr>
          <w:b/>
        </w:rPr>
        <w:t xml:space="preserve">Performance-enhancing substances</w:t>
      </w:r>
    </w:p>
    <w:p>
      <w:pPr>
        <w:jc w:val="both"/>
        <w:spacing w:before="100" w:after="100"/>
        <w:ind w:start="360"/>
        <w:ind w:firstLine="360"/>
      </w:pPr>
      <w:r>
        <w:rPr>
          <w:b/>
        </w:rPr>
        <w:t>1</w:t>
        <w:t xml:space="preserve">.  </w:t>
      </w:r>
      <w:r>
        <w:rPr>
          <w:b/>
        </w:rPr>
        <w:t xml:space="preserve">List of banned substances.</w:t>
        <w:t xml:space="preserve"> </w:t>
      </w:r>
      <w:r>
        <w:t xml:space="preserve"> </w:t>
      </w:r>
      <w:r>
        <w:t xml:space="preserve">The Commissioner of Health and Human Services shall develop a list of banned performance-enhancing substances.  The list must include, but is not limited to, the following:</w:t>
      </w:r>
    </w:p>
    <w:p>
      <w:pPr>
        <w:jc w:val="both"/>
        <w:spacing w:before="100" w:after="0"/>
        <w:ind w:start="720"/>
      </w:pPr>
      <w:r>
        <w:rPr/>
        <w:t>A</w:t>
        <w:t xml:space="preserve">.  </w:t>
      </w:r>
      <w:r>
        <w:rPr/>
      </w:r>
      <w:r>
        <w:t xml:space="preserve">Ephedrine;</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w:pPr>
        <w:jc w:val="both"/>
        <w:spacing w:before="100" w:after="0"/>
        <w:ind w:start="720"/>
      </w:pPr>
      <w:r>
        <w:rPr/>
        <w:t>B</w:t>
        <w:t xml:space="preserve">.  </w:t>
      </w:r>
      <w:r>
        <w:rPr/>
      </w:r>
      <w:r>
        <w:t xml:space="preserve">Synephrine, also known as bitter orange;</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w:pPr>
        <w:jc w:val="both"/>
        <w:spacing w:before="100" w:after="0"/>
        <w:ind w:start="720"/>
      </w:pPr>
      <w:r>
        <w:rPr/>
        <w:t>C</w:t>
        <w:t xml:space="preserve">.  </w:t>
      </w:r>
      <w:r>
        <w:rPr/>
      </w:r>
      <w:r>
        <w:t xml:space="preserve">Dehydroepiandrosterone;</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w:pPr>
        <w:jc w:val="both"/>
        <w:spacing w:before="100" w:after="0"/>
        <w:ind w:start="720"/>
      </w:pPr>
      <w:r>
        <w:rPr/>
        <w:t>D</w:t>
        <w:t xml:space="preserve">.  </w:t>
      </w:r>
      <w:r>
        <w:rPr/>
      </w:r>
      <w:r>
        <w:t xml:space="preserve">All dietary supplements as defined by 21 United States Code, Section 321, Subsection (ff) that are on a banned substance list maintained by the National Collegiate Athletic Association or the World Anti-Doping Agency or their successor organizations; and</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w:pPr>
        <w:jc w:val="both"/>
        <w:spacing w:before="100" w:after="0"/>
        <w:ind w:start="720"/>
      </w:pPr>
      <w:r>
        <w:rPr/>
        <w:t>E</w:t>
        <w:t xml:space="preserve">.  </w:t>
      </w:r>
      <w:r>
        <w:rPr/>
      </w:r>
      <w:r>
        <w:t xml:space="preserve">All other substances that are on a banned substance list maintained by the National Collegiate Athletic Association or the World Anti-Doping Agency or their successor organizations except for:</w:t>
      </w:r>
    </w:p>
    <w:p>
      <w:pPr>
        <w:jc w:val="both"/>
        <w:spacing w:before="100" w:after="0"/>
        <w:ind w:start="1080"/>
      </w:pPr>
      <w:r>
        <w:rPr/>
        <w:t>(</w:t>
        <w:t>1</w:t>
        <w:t xml:space="preserve">)  </w:t>
      </w:r>
      <w:r>
        <w:rPr/>
      </w:r>
      <w:r>
        <w:t xml:space="preserve">A substance that is otherwise illegal in this State; or</w:t>
      </w:r>
    </w:p>
    <w:p>
      <w:pPr>
        <w:jc w:val="both"/>
        <w:spacing w:before="100" w:after="0"/>
        <w:ind w:start="1080"/>
      </w:pPr>
      <w:r>
        <w:rPr/>
        <w:t>(</w:t>
        <w:t>2</w:t>
        <w:t xml:space="preserve">)  </w:t>
      </w:r>
      <w:r>
        <w:rPr/>
      </w:r>
      <w:r>
        <w:t xml:space="preserve">A substance the use of which by minors is illegal in this State.</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§57 (AMD).]</w:t>
      </w:r>
    </w:p>
    <w:p>
      <w:pPr>
        <w:jc w:val="both"/>
        <w:spacing w:before="100" w:after="0"/>
        <w:ind w:start="360"/>
        <w:ind w:firstLine="360"/>
      </w:pPr>
      <w:r>
        <w:rPr>
          <w:b/>
        </w:rPr>
        <w:t>2</w:t>
        <w:t xml:space="preserve">.  </w:t>
      </w:r>
      <w:r>
        <w:rPr>
          <w:b/>
        </w:rPr>
        <w:t xml:space="preserve">Amendments to list.</w:t>
        <w:t xml:space="preserve"> </w:t>
      </w:r>
      <w:r>
        <w:t xml:space="preserve"> </w:t>
      </w:r>
      <w:r>
        <w:t xml:space="preserve">The Commissioner of Health and Human Services shall amend the banned substances list each time a dietary supplement or other substance referenced in </w:t>
      </w:r>
      <w:r>
        <w:t>subsection 1, paragraph D</w:t>
      </w:r>
      <w:r>
        <w:t xml:space="preserve"> or </w:t>
      </w:r>
      <w:r>
        <w:t>E</w:t>
      </w:r>
      <w:r>
        <w:t xml:space="preserve"> is added to the list of banned substances maintained by the National Collegiate Athletic Association or the World Anti-Doping Agency or their successor organizations.  For a substance to be prohibited under </w:t>
      </w:r>
      <w:r>
        <w:t>section 6624</w:t>
      </w:r>
      <w:r>
        <w:t xml:space="preserve"> in a particular school year, the substance must be added to the banned substances list maintained under this section no later than July 1st preceding that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§57 (AMD).]</w:t>
      </w:r>
    </w:p>
    <w:p>
      <w:pPr>
        <w:jc w:val="both"/>
        <w:spacing w:before="100" w:after="0"/>
        <w:ind w:start="360"/>
        <w:ind w:firstLine="360"/>
      </w:pPr>
      <w:r>
        <w:rPr>
          <w:b/>
        </w:rPr>
        <w:t>3</w:t>
        <w:t xml:space="preserve">.  </w:t>
      </w:r>
      <w:r>
        <w:rPr>
          <w:b/>
        </w:rPr>
        <w:t xml:space="preserve">Notification.</w:t>
        <w:t xml:space="preserve"> </w:t>
      </w:r>
      <w:r>
        <w:t xml:space="preserve"> </w:t>
      </w:r>
      <w:r>
        <w:t xml:space="preserve">The Commissioner of Health and Human Services shall notify the department, the Maine School Management Association and the Maine Principals' Association or their successor organizations when the initial list of banned substances is complete and of any subsequent changes to the list.  The department shall notify all school administrative units that have students who participate in sports of the availability of the list.  The Commissioner of Health and Human Services shall post the list on the publicly accessible website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PL 2011, c. 657, Pt. AA,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§6621. Performance-enhancing substances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§6621. Performance-enhancing substances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§6621. PERFORMANCE-ENHANCING SUBSTANCES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