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9932</w:t>
        <w:t xml:space="preserve">.  </w:t>
      </w:r>
      <w:r>
        <w:rPr>
          <w:b/>
        </w:rPr>
        <w:t xml:space="preserve">Network established; administration; composition</w:t>
      </w:r>
    </w:p>
    <w:p>
      <w:pPr>
        <w:jc w:val="both"/>
        <w:spacing w:before="100" w:after="100"/>
        <w:ind w:start="360"/>
        <w:ind w:firstLine="360"/>
      </w:pPr>
      <w:r>
        <w:rPr/>
      </w:r>
      <w:r>
        <w:rPr/>
      </w:r>
      <w:r>
        <w:t xml:space="preserve">The Maine Green Schools Network is established within the department to support environmental education and initiatives within public schools and school administrative units as described in section 9933.</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100"/>
        <w:ind w:start="360"/>
        <w:ind w:firstLine="360"/>
      </w:pPr>
      <w:r>
        <w:rPr>
          <w:b/>
        </w:rPr>
        <w:t>1</w:t>
        <w:t xml:space="preserve">.  </w:t>
      </w:r>
      <w:r>
        <w:rPr>
          <w:b/>
        </w:rPr>
        <w:t xml:space="preserve">Administration.</w:t>
        <w:t xml:space="preserve"> </w:t>
      </w:r>
      <w:r>
        <w:t xml:space="preserve"> </w:t>
      </w:r>
      <w:r>
        <w:t xml:space="preserve">The department shall administer the network. In administering the network, the department may collaborate with the following entities:</w:t>
      </w:r>
    </w:p>
    <w:p>
      <w:pPr>
        <w:jc w:val="both"/>
        <w:spacing w:before="100" w:after="0"/>
        <w:ind w:start="720"/>
      </w:pPr>
      <w:r>
        <w:rPr/>
        <w:t>A</w:t>
        <w:t xml:space="preserve">.  </w:t>
      </w:r>
      <w:r>
        <w:rPr/>
      </w:r>
      <w:r>
        <w:t xml:space="preserve">A nonprofit organization in this State that supports environmental awareness, accountability and action through fostering youth leadership, supporting educators, prioritizing research and evaluation, shifting culture and advancing transformational policy;</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Other state agencies;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Tribal governments;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Nonprofit organizations that support environmental, outdoor and climate learning programs, traditional ecological knowledge, local procurement and other experiential learning initiatives in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100"/>
        <w:ind w:start="360"/>
        <w:ind w:firstLine="360"/>
      </w:pPr>
      <w:r>
        <w:rPr>
          <w:b/>
        </w:rPr>
        <w:t>2</w:t>
        <w:t xml:space="preserve">.  </w:t>
      </w:r>
      <w:r>
        <w:rPr>
          <w:b/>
        </w:rPr>
        <w:t xml:space="preserve">Network composition.</w:t>
        <w:t xml:space="preserve"> </w:t>
      </w:r>
      <w:r>
        <w:t xml:space="preserve"> </w:t>
      </w:r>
      <w:r>
        <w:t xml:space="preserve">The department may, subject to availability of funds, invite the following individuals to participate in the network:</w:t>
      </w:r>
    </w:p>
    <w:p>
      <w:pPr>
        <w:jc w:val="both"/>
        <w:spacing w:before="100" w:after="0"/>
        <w:ind w:start="720"/>
      </w:pPr>
      <w:r>
        <w:rPr/>
        <w:t>A</w:t>
        <w:t xml:space="preserve">.  </w:t>
      </w:r>
      <w:r>
        <w:rPr/>
      </w:r>
      <w:r>
        <w:t xml:space="preserve">The director of green schools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The climate education specialist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The Wabanaki studies specialist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One educator with experience teaching in a public elementary or secondary school in the State;</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E</w:t>
        <w:t xml:space="preserve">.  </w:t>
      </w:r>
      <w:r>
        <w:rPr/>
      </w:r>
      <w:r>
        <w:t xml:space="preserve">One school administrator employed at a school administrative unit in the State;</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F</w:t>
        <w:t xml:space="preserve">.  </w:t>
      </w:r>
      <w:r>
        <w:rPr/>
      </w:r>
      <w:r>
        <w:t xml:space="preserve">A member of the public;</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G</w:t>
        <w:t xml:space="preserve">.  </w:t>
      </w:r>
      <w:r>
        <w:rPr/>
      </w:r>
      <w:r>
        <w:t xml:space="preserve">A representative from a climate education nonprofit organization;</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H</w:t>
        <w:t xml:space="preserve">.  </w:t>
      </w:r>
      <w:r>
        <w:rPr/>
      </w:r>
      <w:r>
        <w:t xml:space="preserve">A representative from a career and technical school;</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I</w:t>
        <w:t xml:space="preserve">.  </w:t>
      </w:r>
      <w:r>
        <w:rPr/>
      </w:r>
      <w:r>
        <w:t xml:space="preserve">A representative from the Governor's Office of Policy Innovation and the Future with expertise in youth engagement or climate education;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J</w:t>
        <w:t xml:space="preserve">.  </w:t>
      </w:r>
      <w:r>
        <w:rPr/>
      </w:r>
      <w:r>
        <w:t xml:space="preserve">A representative from the Department of Environmental Protection.  </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360"/>
      </w:pPr>
      <w:r>
        <w:rPr/>
      </w:r>
      <w:r>
        <w:rPr/>
      </w:r>
      <w:r>
        <w:t xml:space="preserve">The department may invite additional individuals or organizations to participate in the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§9932. Network established; administration; composition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§9932. Network established; administration; composition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§9932. NETWORK ESTABLISHED; ADMINISTRATION; COMPOSITION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