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1053-B</w:t>
        <w:t xml:space="preserve">.  </w:t>
      </w:r>
      <w:r>
        <w:rPr>
          <w:b/>
        </w:rPr>
        <w:t xml:space="preserve">Out-of-state committees</w:t>
      </w:r>
    </w:p>
    <w:p>
      <w:pPr>
        <w:jc w:val="both"/>
        <w:spacing w:before="100" w:after="100"/>
        <w:ind w:start="360"/>
        <w:ind w:firstLine="360"/>
      </w:pPr>
      <w:r>
        <w:rPr/>
      </w:r>
      <w:r>
        <w:rPr/>
      </w:r>
      <w:r>
        <w:t xml:space="preserve">An organization that is registered as a political action committee, ballot question committee or political committee with the Federal Election Commission or a jurisdiction outside of this State shall register and file reports with the commission in accordance with this subchapter upon receiving contributions or making expenditures to initiate or influence a campaign in the State in excess of the amounts that would require registration under </w:t>
      </w:r>
      <w:r>
        <w:t>section 1052‑A</w:t>
      </w:r>
      <w:r>
        <w:t xml:space="preserve">.  The committee is not required to register and file reports if the committee's only financial activity within the State is to make contributions to candidates, party committees, political action committees or ballot question committees registered with the commission or a municipality and the committee has not raised and accepted any contributions during the calendar year to influence a campaign in this State.</w:t>
      </w:r>
      <w:r>
        <w:t xml:space="preserve">  </w:t>
      </w:r>
      <w:r xmlns:wp="http://schemas.openxmlformats.org/drawingml/2010/wordprocessingDrawing" xmlns:w15="http://schemas.microsoft.com/office/word/2012/wordml">
        <w:rPr>
          <w:rFonts w:ascii="Arial" w:hAnsi="Arial" w:cs="Arial"/>
          <w:sz w:val="22"/>
          <w:szCs w:val="22"/>
        </w:rPr>
        <w:t xml:space="preserve">[PL 2019, c. 563,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190, Pt. A, §19 (NEW). PL 2011, c. 389, §36 (AMD). PL 2013, c. 334, §21 (AMD). PL 2019, c. 563,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§1053-B. Out-of-state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§1053-B. Out-of-state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§1053-B. OUT-OF-STATE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